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原辅料（</w:t>
      </w:r>
      <w:r>
        <w:rPr>
          <w:rFonts w:hint="eastAsia" w:ascii="宋体" w:hAnsi="宋体"/>
          <w:sz w:val="48"/>
          <w:szCs w:val="48"/>
          <w:lang w:val="en-US" w:eastAsia="zh-CN"/>
        </w:rPr>
        <w:t>小麦</w:t>
      </w:r>
      <w:r>
        <w:rPr>
          <w:rFonts w:hint="eastAsia" w:ascii="宋体" w:hAnsi="宋体"/>
          <w:sz w:val="48"/>
          <w:szCs w:val="48"/>
        </w:rPr>
        <w:t>）采购项目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5D36242F">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宝丰酒业有限公司   </w:t>
      </w:r>
    </w:p>
    <w:p w14:paraId="02571AB1">
      <w:pPr>
        <w:spacing w:line="440" w:lineRule="exact"/>
        <w:ind w:right="42" w:rightChars="20"/>
        <w:jc w:val="center"/>
        <w:rPr>
          <w:rFonts w:ascii="宋体" w:hAnsi="宋体" w:cs="Arial"/>
          <w:sz w:val="36"/>
        </w:rPr>
      </w:pPr>
    </w:p>
    <w:p w14:paraId="739E0143">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2025 </w:t>
      </w:r>
      <w:r>
        <w:rPr>
          <w:rFonts w:hint="eastAsia" w:ascii="宋体" w:hAnsi="宋体" w:cs="Arial"/>
          <w:sz w:val="36"/>
        </w:rPr>
        <w:t>年</w:t>
      </w:r>
      <w:r>
        <w:rPr>
          <w:rFonts w:hint="eastAsia" w:ascii="宋体" w:hAnsi="宋体" w:cs="Arial"/>
          <w:sz w:val="36"/>
          <w:lang w:val="en-US" w:eastAsia="zh-CN"/>
        </w:rPr>
        <w:t>5</w:t>
      </w:r>
      <w:r>
        <w:rPr>
          <w:rFonts w:hint="eastAsia" w:ascii="宋体" w:hAnsi="宋体" w:cs="Arial"/>
          <w:sz w:val="36"/>
        </w:rPr>
        <w:t>月</w:t>
      </w:r>
      <w:r>
        <w:rPr>
          <w:rFonts w:hint="eastAsia" w:ascii="宋体" w:hAnsi="宋体" w:cs="Arial"/>
          <w:sz w:val="36"/>
          <w:lang w:val="en-US" w:eastAsia="zh-CN"/>
        </w:rPr>
        <w:t>26</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Hlk450145192"/>
      <w:bookmarkStart w:id="2" w:name="_Toc308700557"/>
      <w:bookmarkStart w:id="3" w:name="_Toc272141465"/>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309467393"/>
      <w:bookmarkStart w:id="6" w:name="_Toc272141464"/>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宝丰酒业有限公司原辅料--小麦采购招标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ascii="宋体" w:hAnsi="宋体" w:eastAsia="宋体" w:cs="Arial"/>
                <w:sz w:val="24"/>
                <w:szCs w:val="24"/>
                <w:highlight w:val="none"/>
                <w:u w:val="single"/>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贰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 月  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hint="eastAsia" w:ascii="宋体" w:hAnsi="宋体" w:cs="Arial" w:eastAsiaTheme="minorEastAsia"/>
                <w:sz w:val="24"/>
                <w:szCs w:val="24"/>
                <w:lang w:eastAsia="zh-CN"/>
              </w:rPr>
            </w:pPr>
            <w:r>
              <w:rPr>
                <w:rFonts w:hint="eastAsia" w:ascii="宋体" w:hAnsi="宋体"/>
                <w:sz w:val="24"/>
                <w:szCs w:val="24"/>
              </w:rPr>
              <w:t>合格投标人要求：具有独立法人资格，可按招标要求供应</w:t>
            </w:r>
            <w:r>
              <w:rPr>
                <w:rFonts w:hint="eastAsia" w:ascii="宋体" w:hAnsi="宋体"/>
                <w:sz w:val="24"/>
                <w:szCs w:val="24"/>
                <w:lang w:eastAsia="zh-CN"/>
              </w:rPr>
              <w:t>小麦</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bookmarkStart w:id="21" w:name="_GoBack"/>
            <w:bookmarkEnd w:id="21"/>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投标书份数：正本一份</w:t>
            </w:r>
          </w:p>
        </w:tc>
      </w:tr>
    </w:tbl>
    <w:p w14:paraId="1FAF5C57">
      <w:pPr>
        <w:pStyle w:val="3"/>
        <w:jc w:val="center"/>
        <w:rPr>
          <w:rFonts w:hint="eastAsia" w:ascii="宋体" w:hAnsi="宋体" w:eastAsia="宋体"/>
        </w:rPr>
      </w:pPr>
    </w:p>
    <w:p w14:paraId="11A10390">
      <w:pPr>
        <w:rPr>
          <w:rFonts w:hint="eastAsia" w:ascii="宋体" w:hAnsi="宋体" w:eastAsia="宋体"/>
        </w:rPr>
      </w:pPr>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原辅料--小麦招标项目</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w:t>
      </w:r>
      <w:r>
        <w:rPr>
          <w:rFonts w:hint="eastAsia" w:ascii="宋体" w:hAnsi="宋体"/>
          <w:sz w:val="24"/>
          <w:szCs w:val="24"/>
          <w:highlight w:val="none"/>
          <w:u w:val="none"/>
          <w:lang w:eastAsia="zh-CN"/>
        </w:rPr>
        <w:t>小麦</w:t>
      </w:r>
      <w:r>
        <w:rPr>
          <w:rFonts w:hint="eastAsia" w:ascii="宋体" w:hAnsi="宋体"/>
          <w:sz w:val="24"/>
          <w:szCs w:val="24"/>
          <w:highlight w:val="none"/>
          <w:u w:val="none"/>
        </w:rPr>
        <w:t>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w:t>
      </w:r>
      <w:r>
        <w:rPr>
          <w:rFonts w:hint="eastAsia" w:ascii="宋体" w:hAnsi="宋体" w:cs="Arial"/>
          <w:sz w:val="24"/>
          <w:szCs w:val="24"/>
          <w:highlight w:val="none"/>
          <w:lang w:val="en-US" w:eastAsia="zh-CN"/>
        </w:rPr>
        <w:t>不含税单价、</w:t>
      </w:r>
      <w:r>
        <w:rPr>
          <w:rFonts w:hint="eastAsia" w:ascii="宋体" w:hAnsi="宋体" w:cs="Arial"/>
          <w:sz w:val="24"/>
          <w:szCs w:val="24"/>
          <w:highlight w:val="none"/>
        </w:rPr>
        <w:t>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2.2</w:t>
      </w:r>
      <w:r>
        <w:rPr>
          <w:rFonts w:hint="eastAsia" w:ascii="宋体" w:hAnsi="宋体" w:cs="Arial"/>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3</w:t>
      </w:r>
      <w:r>
        <w:rPr>
          <w:rFonts w:hint="eastAsia" w:ascii="宋体" w:hAnsi="宋体" w:cs="Arial"/>
          <w:sz w:val="24"/>
          <w:szCs w:val="30"/>
        </w:rPr>
        <w:t>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4D807EBD">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ascii="宋体" w:hAnsi="宋体" w:eastAsia="宋体"/>
          <w:b/>
          <w:sz w:val="32"/>
        </w:rPr>
      </w:pPr>
      <w:bookmarkStart w:id="14" w:name="_Toc309467402"/>
      <w:r>
        <w:rPr>
          <w:rFonts w:hint="eastAsia" w:ascii="宋体" w:hAnsi="宋体" w:eastAsia="宋体"/>
          <w:b/>
          <w:sz w:val="32"/>
        </w:rPr>
        <w:t>供货范围</w:t>
      </w:r>
      <w:bookmarkEnd w:id="14"/>
      <w:r>
        <w:rPr>
          <w:rFonts w:hint="eastAsia" w:ascii="宋体" w:hAnsi="宋体" w:eastAsia="宋体"/>
          <w:b/>
          <w:sz w:val="32"/>
        </w:rPr>
        <w:t>及清单</w:t>
      </w:r>
    </w:p>
    <w:p w14:paraId="3BABA08E">
      <w:pPr>
        <w:numPr>
          <w:ilvl w:val="0"/>
          <w:numId w:val="9"/>
        </w:numPr>
        <w:spacing w:line="360" w:lineRule="auto"/>
        <w:rPr>
          <w:rFonts w:ascii="宋体" w:hAnsi="宋体" w:cs="宋体"/>
          <w:sz w:val="24"/>
        </w:rPr>
      </w:pPr>
      <w:r>
        <w:rPr>
          <w:rFonts w:hint="eastAsia" w:ascii="宋体" w:hAnsi="宋体" w:cs="宋体"/>
          <w:sz w:val="24"/>
        </w:rPr>
        <w:t>采购品种及数量：详见报价表</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17E52799">
      <w:pPr>
        <w:keepNext w:val="0"/>
        <w:keepLines w:val="0"/>
        <w:widowControl/>
        <w:suppressLineNumbers w:val="0"/>
        <w:jc w:val="left"/>
        <w:rPr>
          <w:rFonts w:hint="eastAsia" w:ascii="宋体" w:hAnsi="宋体" w:cs="宋体" w:eastAsiaTheme="minorEastAsia"/>
          <w:sz w:val="24"/>
          <w:u w:val="none"/>
          <w:lang w:eastAsia="zh-CN"/>
        </w:rPr>
      </w:pPr>
      <w:r>
        <w:rPr>
          <w:rFonts w:hint="eastAsia" w:ascii="宋体" w:hAnsi="宋体" w:cs="宋体"/>
          <w:sz w:val="24"/>
          <w:lang w:val="en-US" w:eastAsia="zh-CN"/>
        </w:rPr>
        <w:t>三、</w:t>
      </w:r>
      <w:r>
        <w:rPr>
          <w:rFonts w:hint="eastAsia" w:ascii="宋体" w:hAnsi="宋体" w:cs="宋体"/>
          <w:sz w:val="24"/>
        </w:rPr>
        <w:t>质量要求：</w:t>
      </w:r>
      <w:r>
        <w:rPr>
          <w:rFonts w:hint="eastAsia" w:ascii="宋体" w:hAnsi="宋体" w:eastAsia="宋体" w:cs="Times New Roman"/>
          <w:color w:val="000000"/>
          <w:szCs w:val="21"/>
          <w:u w:val="none"/>
          <w:lang w:val="en-US" w:eastAsia="zh-CN"/>
        </w:rPr>
        <w:t>水份12.5%以下，杂质1%以下，容重750g/L以上，色泽气味正常，在内的甲方制定的《原辅料验收标准》</w:t>
      </w:r>
      <w:r>
        <w:rPr>
          <w:rFonts w:hint="eastAsia" w:ascii="宋体" w:hAnsi="宋体" w:cs="宋体"/>
          <w:sz w:val="24"/>
          <w:szCs w:val="24"/>
          <w:u w:val="none"/>
          <w:lang w:val="en-US" w:eastAsia="zh-CN"/>
        </w:rPr>
        <w:t>标准编号为BFJY-WIR-PG-40。</w:t>
      </w:r>
    </w:p>
    <w:p w14:paraId="0288D812">
      <w:pPr>
        <w:numPr>
          <w:ilvl w:val="0"/>
          <w:numId w:val="0"/>
        </w:numPr>
        <w:spacing w:line="360" w:lineRule="auto"/>
        <w:rPr>
          <w:rFonts w:hint="default"/>
          <w:lang w:val="en-US"/>
        </w:rPr>
      </w:pPr>
      <w:r>
        <w:rPr>
          <w:rFonts w:hint="eastAsia" w:ascii="宋体" w:hAnsi="宋体"/>
          <w:sz w:val="24"/>
          <w:lang w:val="en-US" w:eastAsia="zh-CN"/>
        </w:rPr>
        <w:t>四、</w:t>
      </w:r>
      <w:r>
        <w:rPr>
          <w:rFonts w:hint="eastAsia" w:ascii="宋体" w:hAnsi="宋体"/>
          <w:sz w:val="24"/>
        </w:rPr>
        <w:t>包装要求：</w:t>
      </w:r>
      <w:r>
        <w:rPr>
          <w:rFonts w:hint="eastAsia" w:ascii="宋体" w:hAnsi="宋体"/>
          <w:sz w:val="24"/>
          <w:lang w:val="en-US" w:eastAsia="zh-CN"/>
        </w:rPr>
        <w:t>袋装 。</w:t>
      </w: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送货时间：</w:t>
      </w:r>
      <w:r>
        <w:rPr>
          <w:rFonts w:hint="eastAsia" w:ascii="宋体" w:hAnsi="宋体" w:cs="宋体"/>
          <w:sz w:val="24"/>
          <w:lang w:val="en-US" w:eastAsia="zh-CN"/>
        </w:rPr>
        <w:t>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结算方式：</w:t>
      </w:r>
      <w:r>
        <w:rPr>
          <w:rFonts w:hint="eastAsia" w:ascii="宋体" w:hAnsi="宋体" w:cs="宋体"/>
          <w:sz w:val="24"/>
          <w:lang w:val="en-US" w:eastAsia="zh-CN"/>
        </w:rPr>
        <w:t>先货后款，具体以合同约定为准。</w:t>
      </w:r>
    </w:p>
    <w:p w14:paraId="3962AE6C">
      <w:pPr>
        <w:pStyle w:val="139"/>
        <w:rPr>
          <w:rStyle w:val="46"/>
        </w:rPr>
      </w:pPr>
      <w:r>
        <w:rPr>
          <w:rStyle w:val="46"/>
          <w:rFonts w:hint="eastAsia"/>
          <w:lang w:val="en-US" w:eastAsia="zh-CN"/>
        </w:rPr>
        <w:t>八、</w:t>
      </w:r>
      <w:r>
        <w:rPr>
          <w:rStyle w:val="46"/>
          <w:rFonts w:hint="eastAsia"/>
        </w:rPr>
        <w:t>样品必须符合我司要求，才能参与我司招标。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22171645"/>
      <w:bookmarkStart w:id="17" w:name="_Toc109299638"/>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评标原则：在满足招标方需求的前提下，合理低价中标(议标)。同等条件下，综合考虑以下因素:现实际供货供应商、向供应商付款方式、供货期、质保期及售后服务优的倾斜。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根据《中华人民共和国民法典》等规定，双方就原辅料采购事宜经友好协商，签订本合同，以资双方信守执行。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10804" w:type="dxa"/>
        <w:jc w:val="center"/>
        <w:tblLayout w:type="fixed"/>
        <w:tblCellMar>
          <w:top w:w="0" w:type="dxa"/>
          <w:left w:w="0" w:type="dxa"/>
          <w:bottom w:w="0" w:type="dxa"/>
          <w:right w:w="0" w:type="dxa"/>
        </w:tblCellMar>
      </w:tblPr>
      <w:tblGrid>
        <w:gridCol w:w="834"/>
        <w:gridCol w:w="1603"/>
        <w:gridCol w:w="2268"/>
        <w:gridCol w:w="2268"/>
        <w:gridCol w:w="1701"/>
        <w:gridCol w:w="2130"/>
      </w:tblGrid>
      <w:tr w14:paraId="6BAD703A">
        <w:tblPrEx>
          <w:tblCellMar>
            <w:top w:w="0" w:type="dxa"/>
            <w:left w:w="0" w:type="dxa"/>
            <w:bottom w:w="0" w:type="dxa"/>
            <w:right w:w="0" w:type="dxa"/>
          </w:tblCellMar>
        </w:tblPrEx>
        <w:trPr>
          <w:trHeight w:val="543" w:hRule="exact"/>
          <w:jc w:val="center"/>
        </w:trPr>
        <w:tc>
          <w:tcPr>
            <w:tcW w:w="834" w:type="dxa"/>
            <w:tcBorders>
              <w:top w:val="single" w:color="auto" w:sz="4" w:space="0"/>
              <w:left w:val="single" w:color="auto" w:sz="4" w:space="0"/>
              <w:bottom w:val="single" w:color="auto" w:sz="4" w:space="0"/>
              <w:right w:val="nil"/>
            </w:tcBorders>
            <w:noWrap w:val="0"/>
            <w:vAlign w:val="center"/>
          </w:tcPr>
          <w:p w14:paraId="53A9A46D">
            <w:pPr>
              <w:snapToGrid w:val="0"/>
              <w:ind w:firstLine="105" w:firstLineChars="50"/>
              <w:jc w:val="center"/>
              <w:rPr>
                <w:rFonts w:ascii="宋体" w:hAnsi="宋体" w:cs="宋体"/>
                <w:b/>
                <w:bCs/>
                <w:szCs w:val="21"/>
              </w:rPr>
            </w:pPr>
            <w:r>
              <w:rPr>
                <w:rFonts w:hint="eastAsia" w:ascii="宋体" w:hAnsi="宋体" w:cs="宋体"/>
                <w:b/>
                <w:bCs/>
                <w:szCs w:val="21"/>
              </w:rPr>
              <w:t>序号</w:t>
            </w:r>
          </w:p>
        </w:tc>
        <w:tc>
          <w:tcPr>
            <w:tcW w:w="1603" w:type="dxa"/>
            <w:tcBorders>
              <w:top w:val="single" w:color="auto" w:sz="4" w:space="0"/>
              <w:left w:val="single" w:color="000000" w:sz="4" w:space="0"/>
              <w:bottom w:val="single" w:color="auto" w:sz="4" w:space="0"/>
              <w:right w:val="nil"/>
            </w:tcBorders>
            <w:noWrap w:val="0"/>
            <w:vAlign w:val="center"/>
          </w:tcPr>
          <w:p w14:paraId="1308113A">
            <w:pPr>
              <w:snapToGrid w:val="0"/>
              <w:jc w:val="center"/>
              <w:rPr>
                <w:rFonts w:ascii="宋体" w:hAnsi="宋体" w:cs="宋体"/>
                <w:b/>
                <w:bCs/>
                <w:szCs w:val="21"/>
                <w:lang w:eastAsia="zh-CN"/>
              </w:rPr>
            </w:pPr>
            <w:r>
              <w:rPr>
                <w:rFonts w:hint="eastAsia" w:ascii="宋体" w:hAnsi="宋体" w:cs="宋体"/>
                <w:b/>
                <w:bCs/>
                <w:szCs w:val="21"/>
                <w:lang w:eastAsia="zh-CN"/>
              </w:rPr>
              <w:t>物料名称</w:t>
            </w:r>
          </w:p>
        </w:tc>
        <w:tc>
          <w:tcPr>
            <w:tcW w:w="2268" w:type="dxa"/>
            <w:tcBorders>
              <w:top w:val="single" w:color="auto" w:sz="4" w:space="0"/>
              <w:left w:val="single" w:color="000000" w:sz="4" w:space="0"/>
              <w:bottom w:val="single" w:color="auto" w:sz="4" w:space="0"/>
              <w:right w:val="nil"/>
            </w:tcBorders>
            <w:noWrap w:val="0"/>
            <w:vAlign w:val="center"/>
          </w:tcPr>
          <w:p w14:paraId="5496599A">
            <w:pPr>
              <w:snapToGrid w:val="0"/>
              <w:jc w:val="center"/>
              <w:rPr>
                <w:rFonts w:ascii="宋体" w:hAnsi="宋体" w:cs="宋体"/>
                <w:b/>
                <w:bCs/>
                <w:szCs w:val="21"/>
              </w:rPr>
            </w:pPr>
            <w:r>
              <w:rPr>
                <w:rFonts w:hint="eastAsia" w:ascii="宋体" w:hAnsi="宋体" w:cs="宋体"/>
                <w:b/>
                <w:bCs/>
                <w:szCs w:val="21"/>
                <w:lang w:eastAsia="zh-CN"/>
              </w:rPr>
              <w:t>暂定采购</w:t>
            </w:r>
            <w:r>
              <w:rPr>
                <w:rFonts w:hint="eastAsia" w:ascii="宋体" w:hAnsi="宋体" w:cs="宋体"/>
                <w:b/>
                <w:bCs/>
                <w:szCs w:val="21"/>
              </w:rPr>
              <w:t>总量(吨)</w:t>
            </w:r>
          </w:p>
        </w:tc>
        <w:tc>
          <w:tcPr>
            <w:tcW w:w="2268" w:type="dxa"/>
            <w:tcBorders>
              <w:top w:val="single" w:color="auto" w:sz="4" w:space="0"/>
              <w:left w:val="single" w:color="000000" w:sz="4" w:space="0"/>
              <w:bottom w:val="single" w:color="auto" w:sz="4" w:space="0"/>
              <w:right w:val="single" w:color="auto" w:sz="4" w:space="0"/>
            </w:tcBorders>
            <w:noWrap w:val="0"/>
            <w:vAlign w:val="center"/>
          </w:tcPr>
          <w:p w14:paraId="6EA5912D">
            <w:pPr>
              <w:snapToGrid w:val="0"/>
              <w:jc w:val="center"/>
              <w:rPr>
                <w:rFonts w:ascii="宋体" w:hAnsi="宋体" w:cs="宋体"/>
                <w:b/>
                <w:bCs/>
                <w:szCs w:val="21"/>
              </w:rPr>
            </w:pPr>
            <w:r>
              <w:rPr>
                <w:rFonts w:hint="eastAsia" w:ascii="宋体" w:hAnsi="宋体" w:cs="宋体"/>
                <w:b/>
                <w:bCs/>
                <w:szCs w:val="21"/>
              </w:rPr>
              <w:t>含税单价（元）</w:t>
            </w:r>
          </w:p>
        </w:tc>
        <w:tc>
          <w:tcPr>
            <w:tcW w:w="1701" w:type="dxa"/>
            <w:tcBorders>
              <w:top w:val="single" w:color="auto" w:sz="4" w:space="0"/>
              <w:left w:val="single" w:color="000000" w:sz="4" w:space="0"/>
              <w:bottom w:val="single" w:color="auto" w:sz="4" w:space="0"/>
              <w:right w:val="single" w:color="auto" w:sz="4" w:space="0"/>
            </w:tcBorders>
            <w:noWrap w:val="0"/>
            <w:vAlign w:val="center"/>
          </w:tcPr>
          <w:p w14:paraId="5F223675">
            <w:pPr>
              <w:snapToGrid w:val="0"/>
              <w:jc w:val="center"/>
              <w:rPr>
                <w:rFonts w:ascii="宋体" w:hAnsi="宋体" w:cs="宋体"/>
                <w:b/>
                <w:bCs/>
                <w:szCs w:val="21"/>
              </w:rPr>
            </w:pPr>
            <w:r>
              <w:rPr>
                <w:rFonts w:ascii="宋体" w:hAnsi="宋体" w:cs="宋体"/>
                <w:b/>
                <w:bCs/>
                <w:szCs w:val="21"/>
              </w:rPr>
              <w:t>收货地址</w:t>
            </w:r>
            <w:r>
              <w:rPr>
                <w:rFonts w:hint="eastAsia" w:ascii="宋体" w:hAnsi="宋体" w:cs="宋体"/>
                <w:b/>
                <w:bCs/>
                <w:szCs w:val="21"/>
                <w:lang w:eastAsia="zh-CN"/>
              </w:rPr>
              <w:t>（以甲方通知为准）</w:t>
            </w:r>
          </w:p>
        </w:tc>
        <w:tc>
          <w:tcPr>
            <w:tcW w:w="2130" w:type="dxa"/>
            <w:tcBorders>
              <w:top w:val="single" w:color="auto" w:sz="4" w:space="0"/>
              <w:left w:val="single" w:color="000000" w:sz="4" w:space="0"/>
              <w:bottom w:val="single" w:color="auto" w:sz="4" w:space="0"/>
              <w:right w:val="single" w:color="auto" w:sz="4" w:space="0"/>
            </w:tcBorders>
            <w:noWrap w:val="0"/>
            <w:vAlign w:val="center"/>
          </w:tcPr>
          <w:p w14:paraId="107BD4D3">
            <w:pPr>
              <w:snapToGrid w:val="0"/>
              <w:jc w:val="center"/>
              <w:rPr>
                <w:rFonts w:hint="eastAsia" w:ascii="宋体" w:hAnsi="宋体" w:eastAsia="宋体" w:cs="宋体"/>
                <w:b/>
                <w:bCs/>
                <w:szCs w:val="21"/>
                <w:lang w:eastAsia="zh-CN"/>
              </w:rPr>
            </w:pPr>
            <w:r>
              <w:rPr>
                <w:rFonts w:hint="eastAsia" w:ascii="宋体" w:hAnsi="宋体" w:cs="宋体"/>
                <w:b/>
                <w:bCs/>
                <w:szCs w:val="21"/>
                <w:lang w:val="en-US" w:eastAsia="zh-CN"/>
              </w:rPr>
              <w:t>备注</w:t>
            </w:r>
          </w:p>
        </w:tc>
      </w:tr>
      <w:tr w14:paraId="733575E4">
        <w:tblPrEx>
          <w:tblCellMar>
            <w:top w:w="0" w:type="dxa"/>
            <w:left w:w="0" w:type="dxa"/>
            <w:bottom w:w="0" w:type="dxa"/>
            <w:right w:w="0" w:type="dxa"/>
          </w:tblCellMar>
        </w:tblPrEx>
        <w:trPr>
          <w:trHeight w:val="47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E8B778">
            <w:pPr>
              <w:jc w:val="center"/>
              <w:rPr>
                <w:rFonts w:hint="eastAsia" w:ascii="宋体" w:hAnsi="宋体" w:cs="宋体"/>
                <w:szCs w:val="21"/>
                <w:lang w:eastAsia="zh-CN"/>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24472">
            <w:pPr>
              <w:jc w:val="center"/>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56C2">
            <w:pPr>
              <w:jc w:val="center"/>
              <w:rPr>
                <w:rFonts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D2F89E">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EEE279">
            <w:pPr>
              <w:jc w:val="center"/>
              <w:rPr>
                <w:rFonts w:ascii="宋体" w:hAnsi="宋体" w:cs="宋体"/>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DFC4E93">
            <w:pPr>
              <w:jc w:val="center"/>
              <w:rPr>
                <w:rFonts w:hint="eastAsia" w:ascii="宋体" w:hAnsi="宋体" w:cs="宋体"/>
                <w:szCs w:val="21"/>
                <w:lang w:eastAsia="zh-CN"/>
              </w:rPr>
            </w:pPr>
          </w:p>
        </w:tc>
      </w:tr>
    </w:tbl>
    <w:p w14:paraId="6A111D07">
      <w:pPr>
        <w:numPr>
          <w:ilvl w:val="0"/>
          <w:numId w:val="0"/>
        </w:numPr>
        <w:ind w:leftChars="0"/>
        <w:rPr>
          <w:rFonts w:hint="eastAsia"/>
        </w:rPr>
      </w:pPr>
      <w:r>
        <w:rPr>
          <w:rFonts w:hint="eastAsia"/>
        </w:rPr>
        <w:tab/>
      </w:r>
      <w:r>
        <w:rPr>
          <w:rFonts w:hint="eastAsia"/>
        </w:rPr>
        <w:tab/>
      </w:r>
      <w:r>
        <w:rPr>
          <w:rFonts w:hint="eastAsia"/>
        </w:rPr>
        <w:tab/>
      </w:r>
      <w:r>
        <w:rPr>
          <w:rFonts w:hint="eastAsia"/>
        </w:rPr>
        <w:tab/>
      </w:r>
      <w:r>
        <w:rPr>
          <w:rFonts w:hint="eastAsia"/>
        </w:rPr>
        <w:tab/>
      </w: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44D81CFB">
      <w:pPr>
        <w:numPr>
          <w:ilvl w:val="0"/>
          <w:numId w:val="0"/>
        </w:numPr>
        <w:ind w:leftChars="0"/>
        <w:rPr>
          <w:rFonts w:hint="eastAsia"/>
        </w:rPr>
      </w:pPr>
      <w:r>
        <w:rPr>
          <w:rFonts w:hint="eastAsia"/>
        </w:rPr>
        <w:t>1.</w:t>
      </w:r>
      <w:r>
        <w:rPr>
          <w:rFonts w:hint="eastAsia"/>
          <w:lang w:val="en-US" w:eastAsia="zh-CN"/>
        </w:rPr>
        <w:t>3</w:t>
      </w:r>
      <w:r>
        <w:rPr>
          <w:rFonts w:hint="eastAsia"/>
        </w:rPr>
        <w:t>送货准备</w:t>
      </w:r>
    </w:p>
    <w:p w14:paraId="3D1D9E04">
      <w:pPr>
        <w:widowControl/>
        <w:ind w:firstLine="420" w:firstLineChars="200"/>
        <w:jc w:val="left"/>
        <w:rPr>
          <w:rFonts w:ascii="宋体" w:hAnsi="宋体" w:cs="宋体"/>
          <w:szCs w:val="21"/>
        </w:rPr>
      </w:pPr>
      <w:r>
        <w:rPr>
          <w:rFonts w:ascii="宋体" w:hAnsi="宋体" w:cs="宋体"/>
          <w:szCs w:val="21"/>
        </w:rPr>
        <w:t>乙方应遵守食品安全承诺和食品安全标准，并在合同签订后【 2 】日内提供【</w:t>
      </w:r>
      <w:r>
        <w:rPr>
          <w:rFonts w:hint="eastAsia" w:ascii="宋体" w:hAnsi="宋体" w:cs="宋体"/>
          <w:szCs w:val="21"/>
          <w:lang w:val="en-US" w:eastAsia="zh-CN"/>
        </w:rPr>
        <w:t>第三方检测报告</w:t>
      </w:r>
      <w:r>
        <w:rPr>
          <w:rFonts w:ascii="宋体" w:hAnsi="宋体" w:cs="宋体"/>
          <w:color w:val="000000"/>
          <w:szCs w:val="21"/>
        </w:rPr>
        <w:t xml:space="preserve"> </w:t>
      </w:r>
      <w:r>
        <w:rPr>
          <w:rFonts w:ascii="宋体" w:hAnsi="宋体" w:cs="宋体"/>
          <w:szCs w:val="21"/>
        </w:rPr>
        <w:t>】（若该报告在合同期限内到期，乙方应在到期前及时提供新报告）。</w:t>
      </w:r>
    </w:p>
    <w:p w14:paraId="02A48D11">
      <w:pPr>
        <w:widowControl/>
        <w:jc w:val="left"/>
        <w:rPr>
          <w:rFonts w:hint="eastAsia" w:ascii="宋体" w:hAnsi="宋体" w:cs="宋体" w:eastAsiaTheme="minorEastAsia"/>
          <w:szCs w:val="21"/>
          <w:lang w:val="en-US" w:eastAsia="zh-CN"/>
        </w:rPr>
      </w:pPr>
      <w:r>
        <w:rPr>
          <w:rFonts w:hint="eastAsia" w:ascii="宋体" w:hAnsi="宋体" w:cs="宋体"/>
          <w:szCs w:val="21"/>
          <w:lang w:val="en-US" w:eastAsia="zh-CN"/>
        </w:rPr>
        <w:t>1.4交（提）货地点、时间、及运输方式：根据甲方要求</w:t>
      </w:r>
      <w:r>
        <w:rPr>
          <w:rFonts w:hint="eastAsia" w:ascii="宋体" w:hAnsi="宋体" w:cs="宋体"/>
          <w:szCs w:val="21"/>
          <w:u w:val="single"/>
          <w:lang w:val="en-US" w:eastAsia="zh-CN"/>
        </w:rPr>
        <w:t xml:space="preserve">     </w:t>
      </w:r>
      <w:r>
        <w:rPr>
          <w:rFonts w:hint="eastAsia" w:ascii="宋体" w:hAnsi="宋体" w:cs="宋体"/>
          <w:szCs w:val="21"/>
          <w:lang w:val="en-US" w:eastAsia="zh-CN"/>
        </w:rPr>
        <w:t>年</w:t>
      </w:r>
      <w:r>
        <w:rPr>
          <w:rFonts w:hint="eastAsia" w:ascii="宋体" w:hAnsi="宋体" w:cs="宋体"/>
          <w:szCs w:val="21"/>
          <w:u w:val="single"/>
          <w:lang w:val="en-US" w:eastAsia="zh-CN"/>
        </w:rPr>
        <w:t xml:space="preserve">    </w:t>
      </w:r>
      <w:r>
        <w:rPr>
          <w:rFonts w:hint="eastAsia" w:ascii="宋体" w:hAnsi="宋体" w:cs="宋体"/>
          <w:szCs w:val="21"/>
          <w:lang w:val="en-US" w:eastAsia="zh-CN"/>
        </w:rPr>
        <w:t>月</w:t>
      </w:r>
      <w:r>
        <w:rPr>
          <w:rFonts w:hint="eastAsia" w:ascii="宋体" w:hAnsi="宋体" w:cs="宋体"/>
          <w:szCs w:val="21"/>
          <w:u w:val="single"/>
          <w:lang w:val="en-US" w:eastAsia="zh-CN"/>
        </w:rPr>
        <w:t xml:space="preserve">    </w:t>
      </w:r>
      <w:r>
        <w:rPr>
          <w:rFonts w:hint="eastAsia" w:ascii="宋体" w:hAnsi="宋体" w:cs="宋体"/>
          <w:szCs w:val="21"/>
          <w:lang w:val="en-US" w:eastAsia="zh-CN"/>
        </w:rPr>
        <w:t>日前交货完毕；乙方按照甲方要求的运输方式负责运输至甲方仓库，</w:t>
      </w:r>
      <w:r>
        <w:rPr>
          <w:rFonts w:hint="eastAsia" w:ascii="宋体" w:hAnsi="宋体" w:cs="宋体"/>
          <w:szCs w:val="21"/>
          <w:highlight w:val="none"/>
          <w:lang w:val="en-US" w:eastAsia="zh-CN"/>
        </w:rPr>
        <w:t>并随车携带每车的</w:t>
      </w:r>
      <w:r>
        <w:rPr>
          <w:rFonts w:ascii="宋体" w:hAnsi="宋体" w:cs="宋体"/>
          <w:szCs w:val="21"/>
          <w:highlight w:val="none"/>
        </w:rPr>
        <w:t>【</w:t>
      </w:r>
      <w:r>
        <w:rPr>
          <w:rFonts w:hint="eastAsia" w:ascii="宋体" w:hAnsi="宋体" w:cs="宋体"/>
          <w:szCs w:val="21"/>
          <w:highlight w:val="none"/>
          <w:lang w:val="en-US" w:eastAsia="zh-CN"/>
        </w:rPr>
        <w:t>原辅材料</w:t>
      </w:r>
      <w:r>
        <w:rPr>
          <w:rFonts w:ascii="宋体" w:hAnsi="宋体" w:cs="宋体"/>
          <w:szCs w:val="21"/>
          <w:highlight w:val="none"/>
        </w:rPr>
        <w:t>出厂</w:t>
      </w:r>
      <w:r>
        <w:rPr>
          <w:rFonts w:hint="eastAsia" w:ascii="宋体" w:hAnsi="宋体" w:cs="宋体"/>
          <w:szCs w:val="21"/>
          <w:highlight w:val="none"/>
          <w:lang w:val="en-US" w:eastAsia="zh-CN"/>
        </w:rPr>
        <w:t>质量</w:t>
      </w:r>
      <w:r>
        <w:rPr>
          <w:rFonts w:ascii="宋体" w:hAnsi="宋体" w:cs="宋体"/>
          <w:szCs w:val="21"/>
          <w:highlight w:val="none"/>
        </w:rPr>
        <w:t>检测报告】</w:t>
      </w:r>
      <w:r>
        <w:rPr>
          <w:rFonts w:hint="eastAsia" w:ascii="宋体" w:hAnsi="宋体" w:cs="宋体"/>
          <w:szCs w:val="21"/>
          <w:highlight w:val="none"/>
          <w:lang w:eastAsia="zh-CN"/>
        </w:rPr>
        <w:t>。</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履约保证金【</w:t>
      </w:r>
      <w:r>
        <w:rPr>
          <w:rFonts w:hint="eastAsia"/>
          <w:lang w:val="en-US" w:eastAsia="zh-CN"/>
        </w:rPr>
        <w:t>20000</w:t>
      </w:r>
      <w:r>
        <w:rPr>
          <w:rFonts w:hint="eastAsia"/>
        </w:rPr>
        <w:t>】元（大写：【</w:t>
      </w:r>
      <w:r>
        <w:rPr>
          <w:rFonts w:hint="eastAsia"/>
          <w:lang w:val="en-US" w:eastAsia="zh-CN"/>
        </w:rPr>
        <w:t>贰万元整</w:t>
      </w:r>
      <w:r>
        <w:rPr>
          <w:rFonts w:hint="eastAsia"/>
        </w:rPr>
        <w:t xml:space="preserve">】），乙方应于本合同签订之日起【10】日内支付，否则，甲方有权单方解除本合同。 </w:t>
      </w:r>
    </w:p>
    <w:p w14:paraId="555D7EE1">
      <w:pPr>
        <w:numPr>
          <w:ilvl w:val="0"/>
          <w:numId w:val="0"/>
        </w:numPr>
        <w:ind w:leftChars="0"/>
        <w:rPr>
          <w:rFonts w:hint="eastAsia"/>
        </w:rPr>
      </w:pPr>
      <w:r>
        <w:rPr>
          <w:rFonts w:hint="eastAsia"/>
        </w:rPr>
        <w:t>2.2若乙方已于上一年度（月度）支付前述等额保证金，可转为本合同保证金，甲方有权自履约保证金中扣除乙方应向甲方支付的费用，包括但不限于违约金、罚款等。履约保证金应始终维持足额，若有不足，应于【3】日内全额补足，否则，甲方有权单方解除本合同。</w:t>
      </w:r>
    </w:p>
    <w:p w14:paraId="1C9CBA83">
      <w:pPr>
        <w:numPr>
          <w:ilvl w:val="0"/>
          <w:numId w:val="0"/>
        </w:numPr>
        <w:ind w:leftChars="0"/>
        <w:rPr>
          <w:rFonts w:hint="eastAsia"/>
        </w:rPr>
      </w:pPr>
      <w:r>
        <w:rPr>
          <w:rFonts w:hint="eastAsia"/>
        </w:rPr>
        <w:t>2.3 在最后一批原辅料到货抽检验收后【 】日内，若未出现违反第三条验收标准的情形，且甲乙双方已结清包括货款、违约金、罚款等全部费用后，甲方无息退还剩余履约保证金。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5CBFE875">
      <w:pPr>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到货验收</w:t>
      </w:r>
    </w:p>
    <w:p w14:paraId="12641669">
      <w:pPr>
        <w:keepNext w:val="0"/>
        <w:keepLines w:val="0"/>
        <w:widowControl/>
        <w:suppressLineNumbers w:val="0"/>
        <w:jc w:val="left"/>
        <w:rPr>
          <w:rFonts w:ascii="宋体" w:hAnsi="宋体"/>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.1质量验收标准</w:t>
      </w:r>
      <w:r>
        <w:rPr>
          <w:rFonts w:hint="eastAsia" w:ascii="宋体" w:hAnsi="宋体"/>
          <w:color w:val="000000"/>
          <w:szCs w:val="21"/>
          <w:lang w:eastAsia="zh-CN"/>
        </w:rPr>
        <w:t>：</w:t>
      </w:r>
      <w:r>
        <w:rPr>
          <w:rFonts w:hint="eastAsia" w:ascii="宋体" w:hAnsi="宋体"/>
          <w:szCs w:val="21"/>
        </w:rPr>
        <w:t>【</w:t>
      </w:r>
      <w:r>
        <w:rPr>
          <w:rFonts w:hint="eastAsia" w:ascii="宋体" w:hAnsi="宋体" w:eastAsia="宋体" w:cs="Times New Roman"/>
          <w:color w:val="000000"/>
          <w:szCs w:val="21"/>
          <w:u w:val="single"/>
          <w:lang w:val="en-US" w:eastAsia="zh-CN"/>
        </w:rPr>
        <w:t>水份12.5%以下，杂质1%以下，容重750g/L以上，色泽气味正常，在内的甲方制定的《原辅料验收标准》</w:t>
      </w:r>
      <w:r>
        <w:rPr>
          <w:rFonts w:hint="eastAsia" w:ascii="宋体" w:hAnsi="宋体" w:cs="宋体"/>
          <w:sz w:val="24"/>
          <w:szCs w:val="24"/>
          <w:u w:val="single"/>
          <w:lang w:val="en-US" w:eastAsia="zh-CN"/>
        </w:rPr>
        <w:t>标准编号为BFJY-WIR-PG-40和检验方法进行验收</w:t>
      </w:r>
      <w:r>
        <w:rPr>
          <w:rFonts w:hint="eastAsia" w:ascii="宋体" w:hAnsi="宋体" w:eastAsia="宋体" w:cs="Times New Roman"/>
          <w:color w:val="000000"/>
          <w:szCs w:val="21"/>
          <w:u w:val="single"/>
          <w:lang w:val="en-US" w:eastAsia="zh-CN"/>
        </w:rPr>
        <w:t>，其他指标符合国家标准。</w:t>
      </w:r>
      <w:r>
        <w:rPr>
          <w:rFonts w:ascii="宋体" w:hAnsi="宋体"/>
          <w:szCs w:val="21"/>
        </w:rPr>
        <w:t>】</w:t>
      </w:r>
      <w:r>
        <w:rPr>
          <w:rFonts w:hint="eastAsia" w:ascii="宋体" w:hAnsi="宋体"/>
          <w:szCs w:val="21"/>
        </w:rPr>
        <w:t>，通过前述验收不代表通过入库后质量验收</w:t>
      </w:r>
      <w:r>
        <w:rPr>
          <w:rFonts w:hint="eastAsia" w:ascii="宋体" w:hAnsi="宋体"/>
          <w:color w:val="000000"/>
          <w:szCs w:val="21"/>
        </w:rPr>
        <w:t>。</w:t>
      </w:r>
    </w:p>
    <w:p w14:paraId="3865EE59">
      <w:pPr>
        <w:numPr>
          <w:ilvl w:val="0"/>
          <w:numId w:val="0"/>
        </w:numPr>
        <w:tabs>
          <w:tab w:val="left" w:pos="0"/>
        </w:tabs>
        <w:rPr>
          <w:rFonts w:ascii="宋体" w:hAnsi="宋体"/>
          <w:szCs w:val="21"/>
        </w:rPr>
      </w:pPr>
      <w:r>
        <w:rPr>
          <w:rFonts w:hint="eastAsia" w:ascii="宋体" w:hAnsi="宋体"/>
          <w:color w:val="000000"/>
          <w:szCs w:val="21"/>
        </w:rPr>
        <w:t>3</w:t>
      </w:r>
      <w:r>
        <w:rPr>
          <w:rFonts w:ascii="宋体" w:hAnsi="宋体"/>
          <w:color w:val="000000"/>
          <w:szCs w:val="21"/>
        </w:rPr>
        <w:t>.1.2</w:t>
      </w:r>
      <w:r>
        <w:rPr>
          <w:rFonts w:hint="eastAsia" w:ascii="宋体" w:hAnsi="宋体"/>
          <w:color w:val="000000"/>
          <w:szCs w:val="21"/>
        </w:rPr>
        <w:t>若抽检</w:t>
      </w:r>
      <w:r>
        <w:rPr>
          <w:rFonts w:hint="eastAsia" w:ascii="宋体" w:hAnsi="宋体"/>
          <w:color w:val="000000"/>
          <w:szCs w:val="21"/>
          <w:lang w:eastAsia="zh-CN"/>
        </w:rPr>
        <w:t>原辅料</w:t>
      </w:r>
      <w:r>
        <w:rPr>
          <w:rFonts w:hint="eastAsia" w:ascii="宋体" w:hAnsi="宋体"/>
          <w:color w:val="000000"/>
          <w:szCs w:val="21"/>
        </w:rPr>
        <w:t>不符合上述标准，甲方拒收的</w:t>
      </w:r>
      <w:r>
        <w:rPr>
          <w:rFonts w:hint="eastAsia" w:ascii="宋体" w:hAnsi="宋体"/>
          <w:color w:val="000000"/>
          <w:szCs w:val="21"/>
          <w:lang w:eastAsia="zh-CN"/>
        </w:rPr>
        <w:t xml:space="preserve">，乙方应在【 </w:t>
      </w:r>
      <w:r>
        <w:rPr>
          <w:rFonts w:hint="eastAsia" w:ascii="宋体" w:hAnsi="宋体"/>
          <w:color w:val="000000"/>
          <w:szCs w:val="21"/>
          <w:lang w:val="en-US" w:eastAsia="zh-CN"/>
        </w:rPr>
        <w:t>3</w:t>
      </w:r>
      <w:r>
        <w:rPr>
          <w:rFonts w:hint="eastAsia" w:ascii="宋体" w:hAnsi="宋体"/>
          <w:color w:val="000000"/>
          <w:szCs w:val="21"/>
          <w:lang w:eastAsia="zh-CN"/>
        </w:rPr>
        <w:t xml:space="preserve"> 】日内完成换货（包括自行运回不合格部分的原辅料，</w:t>
      </w:r>
      <w:r>
        <w:rPr>
          <w:rFonts w:hint="eastAsia" w:ascii="宋体" w:hAnsi="宋体"/>
          <w:szCs w:val="21"/>
        </w:rPr>
        <w:t>否则，视为乙方放弃</w:t>
      </w:r>
      <w:r>
        <w:rPr>
          <w:rFonts w:hint="eastAsia" w:ascii="宋体" w:hAnsi="宋体"/>
          <w:szCs w:val="21"/>
          <w:lang w:eastAsia="zh-CN"/>
        </w:rPr>
        <w:t>该原辅料</w:t>
      </w:r>
      <w:r>
        <w:rPr>
          <w:rFonts w:hint="eastAsia" w:ascii="宋体" w:hAnsi="宋体"/>
          <w:szCs w:val="21"/>
        </w:rPr>
        <w:t>所有权，甲方有权自行处理</w:t>
      </w:r>
      <w:r>
        <w:rPr>
          <w:rFonts w:hint="eastAsia" w:ascii="宋体" w:hAnsi="宋体"/>
          <w:szCs w:val="21"/>
          <w:lang w:eastAsia="zh-CN"/>
        </w:rPr>
        <w:t>并从应付款或履约保证金中扣除相关处理费用</w:t>
      </w:r>
      <w:r>
        <w:rPr>
          <w:rFonts w:hint="eastAsia" w:ascii="宋体" w:hAnsi="宋体"/>
          <w:color w:val="000000"/>
          <w:szCs w:val="21"/>
          <w:lang w:eastAsia="zh-CN"/>
        </w:rPr>
        <w:t>）</w:t>
      </w:r>
      <w:r>
        <w:rPr>
          <w:rFonts w:hint="eastAsia" w:ascii="宋体" w:hAnsi="宋体"/>
          <w:szCs w:val="21"/>
        </w:rPr>
        <w:t>并</w:t>
      </w:r>
      <w:r>
        <w:rPr>
          <w:rFonts w:hint="eastAsia" w:ascii="宋体" w:hAnsi="宋体"/>
          <w:szCs w:val="21"/>
          <w:lang w:eastAsia="zh-CN"/>
        </w:rPr>
        <w:t>要求乙方</w:t>
      </w:r>
      <w:r>
        <w:rPr>
          <w:rFonts w:hint="eastAsia" w:ascii="宋体" w:hAnsi="宋体"/>
          <w:szCs w:val="21"/>
        </w:rPr>
        <w:t>承担</w:t>
      </w:r>
      <w:r>
        <w:rPr>
          <w:rFonts w:hint="eastAsia" w:ascii="宋体" w:hAnsi="宋体"/>
          <w:szCs w:val="21"/>
          <w:lang w:eastAsia="zh-CN"/>
        </w:rPr>
        <w:t>5.2条和5.</w:t>
      </w:r>
      <w:r>
        <w:rPr>
          <w:rFonts w:ascii="宋体" w:hAnsi="宋体"/>
          <w:szCs w:val="21"/>
          <w:lang w:eastAsia="zh-CN"/>
        </w:rPr>
        <w:t>3条</w:t>
      </w:r>
      <w:r>
        <w:rPr>
          <w:rFonts w:hint="eastAsia" w:ascii="宋体" w:hAnsi="宋体"/>
          <w:szCs w:val="21"/>
        </w:rPr>
        <w:t>违约责任</w:t>
      </w:r>
      <w:r>
        <w:rPr>
          <w:rFonts w:hint="eastAsia" w:ascii="宋体" w:hAnsi="宋体"/>
          <w:szCs w:val="21"/>
          <w:lang w:eastAsia="zh-CN"/>
        </w:rPr>
        <w:t>，</w:t>
      </w:r>
      <w:r>
        <w:rPr>
          <w:rFonts w:hint="eastAsia" w:ascii="宋体" w:hAnsi="宋体"/>
          <w:szCs w:val="21"/>
        </w:rPr>
        <w:t>通过上述验收不代表通过入库后质量验收</w:t>
      </w:r>
      <w:r>
        <w:rPr>
          <w:rFonts w:hint="eastAsia" w:ascii="宋体" w:hAnsi="宋体"/>
          <w:szCs w:val="21"/>
          <w:lang w:eastAsia="zh-CN"/>
        </w:rPr>
        <w:t>合格</w:t>
      </w:r>
      <w:r>
        <w:rPr>
          <w:rFonts w:hint="eastAsia" w:ascii="宋体" w:hAnsi="宋体"/>
          <w:szCs w:val="21"/>
        </w:rPr>
        <w:t>。</w:t>
      </w:r>
    </w:p>
    <w:p w14:paraId="483CF079">
      <w:pPr>
        <w:numPr>
          <w:ilvl w:val="0"/>
          <w:numId w:val="10"/>
        </w:numPr>
        <w:rPr>
          <w:rFonts w:ascii="宋体" w:hAnsi="宋体"/>
          <w:color w:val="000000"/>
          <w:szCs w:val="21"/>
          <w:lang w:eastAsia="zh-CN"/>
        </w:rPr>
      </w:pPr>
      <w:r>
        <w:rPr>
          <w:rFonts w:hint="eastAsia" w:ascii="宋体" w:hAnsi="宋体"/>
          <w:color w:val="000000"/>
          <w:szCs w:val="21"/>
          <w:lang w:eastAsia="zh-CN"/>
        </w:rPr>
        <w:t>3.1.3 若符合上述质量验收标准，双方使用甲方计量设备称重计数（</w:t>
      </w:r>
      <w:r>
        <w:rPr>
          <w:rFonts w:hint="eastAsia" w:ascii="宋体" w:hAnsi="宋体"/>
          <w:color w:val="000000"/>
          <w:szCs w:val="21"/>
          <w:lang w:val="en-US" w:eastAsia="zh-CN"/>
        </w:rPr>
        <w:t>小于等于乙方计量单</w:t>
      </w:r>
      <w:r>
        <w:rPr>
          <w:rFonts w:hint="eastAsia" w:ascii="宋体" w:hAnsi="宋体"/>
          <w:color w:val="000000"/>
          <w:szCs w:val="21"/>
          <w:lang w:eastAsia="zh-CN"/>
        </w:rPr>
        <w:t>），乙方全权授权【称重计量单】上的司机对该文件上所有内容进行有效确认，一份【采购订单】项下的所有【称重计量单】净重之和为到货数量（若有包装袋，净重还应减去包装袋重，包装袋重=【</w:t>
      </w:r>
      <w:r>
        <w:rPr>
          <w:rFonts w:hint="eastAsia" w:ascii="宋体" w:hAnsi="宋体"/>
          <w:color w:val="000000"/>
          <w:szCs w:val="21"/>
          <w:lang w:val="en-US" w:eastAsia="zh-CN"/>
        </w:rPr>
        <w:t>100</w:t>
      </w:r>
      <w:r>
        <w:rPr>
          <w:rFonts w:hint="eastAsia" w:ascii="宋体" w:hAnsi="宋体"/>
          <w:color w:val="000000"/>
          <w:szCs w:val="21"/>
          <w:lang w:eastAsia="zh-CN"/>
        </w:rPr>
        <w:t>】克/袋），到货数量</w:t>
      </w:r>
      <w:r>
        <w:rPr>
          <w:rFonts w:hint="eastAsia" w:ascii="宋体" w:hAnsi="宋体"/>
          <w:color w:val="000000"/>
          <w:szCs w:val="21"/>
          <w:lang w:val="en-US" w:eastAsia="zh-CN"/>
        </w:rPr>
        <w:t>大</w:t>
      </w:r>
      <w:r>
        <w:rPr>
          <w:rFonts w:hint="eastAsia" w:ascii="宋体" w:hAnsi="宋体"/>
          <w:color w:val="000000"/>
          <w:szCs w:val="21"/>
          <w:lang w:eastAsia="zh-CN"/>
        </w:rPr>
        <w:t>于</w:t>
      </w:r>
      <w:r>
        <w:rPr>
          <w:rFonts w:hint="eastAsia" w:ascii="宋体" w:hAnsi="宋体"/>
          <w:color w:val="000000"/>
          <w:szCs w:val="21"/>
          <w:lang w:val="en-US" w:eastAsia="zh-CN"/>
        </w:rPr>
        <w:t>等于</w:t>
      </w:r>
      <w:r>
        <w:rPr>
          <w:rFonts w:hint="eastAsia" w:ascii="宋体" w:hAnsi="宋体"/>
          <w:color w:val="000000"/>
          <w:szCs w:val="21"/>
          <w:lang w:eastAsia="zh-CN"/>
        </w:rPr>
        <w:t>【采购订单】数量，</w:t>
      </w:r>
      <w:r>
        <w:rPr>
          <w:rFonts w:hint="eastAsia" w:ascii="宋体" w:hAnsi="宋体"/>
          <w:color w:val="000000"/>
          <w:szCs w:val="21"/>
          <w:lang w:val="en-US" w:eastAsia="zh-CN"/>
        </w:rPr>
        <w:t>但</w:t>
      </w:r>
      <w:r>
        <w:rPr>
          <w:rFonts w:hint="eastAsia" w:ascii="宋体" w:hAnsi="宋体"/>
          <w:color w:val="000000"/>
          <w:szCs w:val="21"/>
          <w:lang w:eastAsia="zh-CN"/>
        </w:rPr>
        <w:t>差异</w:t>
      </w:r>
      <w:r>
        <w:rPr>
          <w:rFonts w:hint="eastAsia" w:ascii="宋体" w:hAnsi="宋体"/>
          <w:color w:val="000000"/>
          <w:szCs w:val="21"/>
          <w:lang w:val="en-US" w:eastAsia="zh-CN"/>
        </w:rPr>
        <w:t>不得</w:t>
      </w:r>
      <w:r>
        <w:rPr>
          <w:rFonts w:hint="eastAsia" w:ascii="宋体" w:hAnsi="宋体"/>
          <w:color w:val="000000"/>
          <w:szCs w:val="21"/>
          <w:lang w:eastAsia="zh-CN"/>
        </w:rPr>
        <w:t>超过【</w:t>
      </w:r>
      <w:r>
        <w:rPr>
          <w:rFonts w:hint="eastAsia" w:ascii="宋体" w:hAnsi="宋体"/>
          <w:color w:val="000000"/>
          <w:szCs w:val="21"/>
          <w:lang w:val="en-US" w:eastAsia="zh-CN"/>
        </w:rPr>
        <w:t>10</w:t>
      </w:r>
      <w:r>
        <w:rPr>
          <w:rFonts w:hint="eastAsia" w:ascii="宋体" w:hAnsi="宋体"/>
          <w:color w:val="000000"/>
          <w:szCs w:val="21"/>
          <w:lang w:eastAsia="zh-CN"/>
        </w:rPr>
        <w:t>】吨</w:t>
      </w:r>
      <w:r>
        <w:rPr>
          <w:rFonts w:hint="eastAsia" w:ascii="宋体" w:hAnsi="宋体"/>
          <w:color w:val="000000"/>
          <w:szCs w:val="21"/>
          <w:lang w:val="en-US" w:eastAsia="zh-CN"/>
        </w:rPr>
        <w:t>,</w:t>
      </w:r>
      <w:r>
        <w:rPr>
          <w:rFonts w:hint="eastAsia" w:ascii="宋体" w:hAnsi="宋体"/>
          <w:color w:val="000000"/>
          <w:szCs w:val="21"/>
          <w:lang w:eastAsia="zh-CN"/>
        </w:rPr>
        <w:t>且乙方应承担5.2条违约责任。</w:t>
      </w:r>
    </w:p>
    <w:p w14:paraId="6BED537A">
      <w:pPr>
        <w:numPr>
          <w:ilvl w:val="0"/>
          <w:numId w:val="0"/>
        </w:numPr>
        <w:tabs>
          <w:tab w:val="left" w:pos="0"/>
        </w:tabs>
        <w:rPr>
          <w:rFonts w:hint="eastAsia" w:ascii="宋体" w:hAnsi="宋体"/>
          <w:szCs w:val="21"/>
        </w:rPr>
      </w:pPr>
      <w:r>
        <w:rPr>
          <w:rFonts w:ascii="宋体" w:hAnsi="宋体"/>
          <w:szCs w:val="21"/>
        </w:rPr>
        <w:t xml:space="preserve">3.2 </w:t>
      </w:r>
      <w:r>
        <w:rPr>
          <w:rFonts w:hint="eastAsia" w:ascii="宋体" w:hAnsi="宋体"/>
          <w:szCs w:val="21"/>
        </w:rPr>
        <w:t>入库后质量验收</w:t>
      </w:r>
    </w:p>
    <w:p w14:paraId="3F1A2159">
      <w:pPr>
        <w:rPr>
          <w:rFonts w:ascii="宋体" w:hAnsi="宋体"/>
          <w:color w:val="000000"/>
          <w:szCs w:val="21"/>
          <w:lang w:eastAsia="zh-CN"/>
        </w:rPr>
      </w:pPr>
      <w:r>
        <w:rPr>
          <w:rFonts w:hint="eastAsia" w:ascii="宋体" w:hAnsi="宋体"/>
          <w:szCs w:val="21"/>
        </w:rPr>
        <w:t>验收标准同3.</w:t>
      </w:r>
      <w:r>
        <w:rPr>
          <w:rFonts w:hint="eastAsia" w:ascii="宋体" w:hAnsi="宋体"/>
          <w:szCs w:val="21"/>
          <w:lang w:eastAsia="zh-CN"/>
        </w:rPr>
        <w:t>1.1</w:t>
      </w:r>
      <w:r>
        <w:rPr>
          <w:rFonts w:hint="eastAsia" w:ascii="宋体" w:hAnsi="宋体"/>
          <w:szCs w:val="21"/>
        </w:rPr>
        <w:t>，入库后质量验收不符合上述标准的</w:t>
      </w:r>
      <w:r>
        <w:rPr>
          <w:rFonts w:hint="eastAsia" w:ascii="宋体" w:hAnsi="宋体"/>
          <w:color w:val="000000"/>
          <w:szCs w:val="21"/>
          <w:lang w:eastAsia="zh-CN"/>
        </w:rPr>
        <w:t>，仍按3.1.</w:t>
      </w:r>
      <w:r>
        <w:rPr>
          <w:rFonts w:ascii="宋体" w:hAnsi="宋体"/>
          <w:color w:val="000000"/>
          <w:szCs w:val="21"/>
          <w:lang w:eastAsia="zh-CN"/>
        </w:rPr>
        <w:t>2</w:t>
      </w:r>
      <w:r>
        <w:rPr>
          <w:rFonts w:hint="eastAsia" w:ascii="宋体" w:hAnsi="宋体"/>
          <w:color w:val="000000"/>
          <w:szCs w:val="21"/>
          <w:lang w:eastAsia="zh-CN"/>
        </w:rPr>
        <w:t>执行。</w:t>
      </w:r>
    </w:p>
    <w:p w14:paraId="301A1DA2">
      <w:pPr>
        <w:numPr>
          <w:ilvl w:val="0"/>
          <w:numId w:val="0"/>
        </w:numPr>
        <w:ind w:leftChars="0"/>
        <w:rPr>
          <w:rFonts w:hint="default" w:eastAsiaTheme="minorEastAsia"/>
          <w:lang w:val="en-US" w:eastAsia="zh-CN"/>
        </w:rPr>
      </w:pPr>
      <w:r>
        <w:rPr>
          <w:rFonts w:hint="eastAsia"/>
        </w:rPr>
        <w:t>3.</w:t>
      </w:r>
      <w:r>
        <w:rPr>
          <w:rFonts w:hint="eastAsia"/>
          <w:lang w:val="en-US" w:eastAsia="zh-CN"/>
        </w:rPr>
        <w:t>3</w:t>
      </w:r>
      <w:r>
        <w:rPr>
          <w:rFonts w:hint="eastAsia"/>
        </w:rPr>
        <w:t>运输途中以及到货验收合格前原辅料毁损、灭失的风险均由乙方承担。</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原辅料、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6A9EE1B9">
      <w:pPr>
        <w:numPr>
          <w:ilvl w:val="0"/>
          <w:numId w:val="0"/>
        </w:numPr>
        <w:ind w:leftChars="0"/>
        <w:rPr>
          <w:rFonts w:hint="eastAsia"/>
          <w:highlight w:val="none"/>
        </w:rPr>
      </w:pPr>
      <w:r>
        <w:rPr>
          <w:rFonts w:hint="eastAsia"/>
          <w:highlight w:val="none"/>
        </w:rPr>
        <w:t>4.3</w:t>
      </w:r>
      <w:r>
        <w:rPr>
          <w:rFonts w:hint="eastAsia"/>
          <w:highlight w:val="none"/>
          <w:lang w:val="en-US" w:eastAsia="zh-CN"/>
        </w:rPr>
        <w:t>货到付款，以双方约定的合同标的执行完毕后，</w:t>
      </w:r>
      <w:r>
        <w:rPr>
          <w:rFonts w:hint="eastAsia"/>
          <w:highlight w:val="none"/>
        </w:rPr>
        <w:t>甲方</w:t>
      </w:r>
      <w:r>
        <w:rPr>
          <w:rFonts w:hint="eastAsia"/>
          <w:highlight w:val="none"/>
          <w:lang w:val="en-US" w:eastAsia="zh-CN"/>
        </w:rPr>
        <w:t>在</w:t>
      </w:r>
      <w:r>
        <w:rPr>
          <w:rFonts w:hint="eastAsia"/>
          <w:highlight w:val="none"/>
        </w:rPr>
        <w:t>收到乙方开具</w:t>
      </w:r>
      <w:r>
        <w:rPr>
          <w:rFonts w:hint="eastAsia"/>
          <w:highlight w:val="none"/>
          <w:lang w:val="en-US" w:eastAsia="zh-CN"/>
        </w:rPr>
        <w:t>合格的全额的增值税专用</w:t>
      </w:r>
      <w:r>
        <w:rPr>
          <w:rFonts w:hint="eastAsia"/>
          <w:highlight w:val="none"/>
        </w:rPr>
        <w:t xml:space="preserve">发票后【 </w:t>
      </w:r>
      <w:r>
        <w:rPr>
          <w:rFonts w:hint="eastAsia"/>
          <w:highlight w:val="none"/>
          <w:lang w:val="en-US" w:eastAsia="zh-CN"/>
        </w:rPr>
        <w:t>10</w:t>
      </w:r>
      <w:r>
        <w:rPr>
          <w:rFonts w:hint="eastAsia"/>
          <w:highlight w:val="none"/>
        </w:rPr>
        <w:t xml:space="preserve"> 】</w:t>
      </w:r>
      <w:r>
        <w:rPr>
          <w:rFonts w:hint="eastAsia"/>
          <w:highlight w:val="none"/>
          <w:lang w:val="en-US" w:eastAsia="zh-CN"/>
        </w:rPr>
        <w:t>个工作日内</w:t>
      </w:r>
      <w:r>
        <w:rPr>
          <w:rFonts w:hint="eastAsia"/>
          <w:highlight w:val="none"/>
        </w:rPr>
        <w:t>支付</w:t>
      </w:r>
      <w:r>
        <w:rPr>
          <w:rFonts w:hint="eastAsia"/>
          <w:highlight w:val="none"/>
          <w:lang w:val="en-US" w:eastAsia="zh-CN"/>
        </w:rPr>
        <w:t>全部</w:t>
      </w:r>
      <w:r>
        <w:rPr>
          <w:rFonts w:hint="eastAsia"/>
          <w:highlight w:val="none"/>
        </w:rPr>
        <w:t xml:space="preserve">货款。  </w:t>
      </w:r>
    </w:p>
    <w:p w14:paraId="6A6049D3">
      <w:pPr>
        <w:numPr>
          <w:ilvl w:val="0"/>
          <w:numId w:val="0"/>
        </w:numPr>
        <w:ind w:leftChars="0"/>
        <w:rPr>
          <w:rFonts w:hint="eastAsia"/>
          <w:highlight w:val="none"/>
        </w:rPr>
      </w:pPr>
      <w:r>
        <w:rPr>
          <w:rFonts w:hint="eastAsia"/>
          <w:highlight w:val="none"/>
        </w:rPr>
        <w:t>增值税专用发票，税率为【</w:t>
      </w:r>
      <w:r>
        <w:rPr>
          <w:rFonts w:hint="eastAsia"/>
          <w:highlight w:val="none"/>
          <w:lang w:val="en-US" w:eastAsia="zh-CN"/>
        </w:rPr>
        <w:t>9</w:t>
      </w:r>
      <w:r>
        <w:rPr>
          <w:rFonts w:hint="eastAsia"/>
          <w:highlight w:val="none"/>
        </w:rPr>
        <w:t>】%</w:t>
      </w:r>
      <w:r>
        <w:rPr>
          <w:rFonts w:hint="eastAsia"/>
          <w:highlight w:val="none"/>
          <w:lang w:eastAsia="zh-CN"/>
        </w:rPr>
        <w:t>（</w:t>
      </w:r>
      <w:r>
        <w:rPr>
          <w:rFonts w:hint="eastAsia"/>
          <w:highlight w:val="none"/>
          <w:lang w:val="en-US" w:eastAsia="zh-CN"/>
        </w:rPr>
        <w:t>遵照国家相关规定</w:t>
      </w:r>
      <w:r>
        <w:rPr>
          <w:rFonts w:hint="eastAsia"/>
          <w:highlight w:val="none"/>
          <w:lang w:eastAsia="zh-CN"/>
        </w:rPr>
        <w:t>）</w:t>
      </w:r>
      <w:r>
        <w:rPr>
          <w:rFonts w:hint="eastAsia"/>
          <w:highlight w:val="none"/>
        </w:rPr>
        <w:t>；</w:t>
      </w:r>
    </w:p>
    <w:p w14:paraId="0B9BE2B5">
      <w:pPr>
        <w:numPr>
          <w:ilvl w:val="0"/>
          <w:numId w:val="0"/>
        </w:numPr>
        <w:ind w:leftChars="0"/>
        <w:rPr>
          <w:rFonts w:hint="eastAsia"/>
        </w:rPr>
      </w:pPr>
      <w:r>
        <w:rPr>
          <w:rFonts w:hint="eastAsia"/>
        </w:rPr>
        <w:t>4.4甲方付款前，乙方应向甲方开具</w:t>
      </w:r>
      <w:r>
        <w:rPr>
          <w:rFonts w:hint="eastAsia"/>
          <w:lang w:val="en-US" w:eastAsia="zh-CN"/>
        </w:rPr>
        <w:t>全额</w:t>
      </w:r>
      <w:r>
        <w:rPr>
          <w:rFonts w:hint="eastAsia"/>
        </w:rPr>
        <w:t>发票，因乙方自身无法开具发票或开具发票不及时给甲方造成无法及时认证、抵扣发票等情形的，甲方有权拒绝支付合同价款且不承担任何责任，乙方应向甲方支付未开具发票金额对应金额的违约金，违约金不足以弥补甲方损失的，乙方还需承担差额赔偿。</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0CFA6E1B">
      <w:pPr>
        <w:numPr>
          <w:ilvl w:val="0"/>
          <w:numId w:val="0"/>
        </w:numPr>
        <w:ind w:leftChars="0"/>
        <w:rPr>
          <w:rFonts w:hint="eastAsia"/>
        </w:rPr>
      </w:pPr>
      <w:r>
        <w:rPr>
          <w:rFonts w:hint="eastAsia"/>
        </w:rPr>
        <w:t>5.2乙方因质量不合格甲方拒收的，应承担【100元/吨】的违约金，若质量不合格发生【3】次以上的，甲方有权单方解除本合同。</w:t>
      </w:r>
    </w:p>
    <w:p w14:paraId="76E734D2">
      <w:pPr>
        <w:numPr>
          <w:ilvl w:val="0"/>
          <w:numId w:val="0"/>
        </w:numPr>
        <w:ind w:leftChars="0"/>
        <w:rPr>
          <w:rFonts w:hint="eastAsia"/>
          <w:highlight w:val="none"/>
        </w:rPr>
      </w:pPr>
      <w:r>
        <w:rPr>
          <w:rFonts w:hint="eastAsia"/>
          <w:highlight w:val="none"/>
        </w:rPr>
        <w:t>5.3乙方逾期到货（包括换货、数量不足）的，每逾期【1】日，应承担【逾期部分对应的采购订单金额10%】的逾期违约金，逾期【7】日以上，除违约金外，甲方还有权单方解除本合同。</w:t>
      </w:r>
    </w:p>
    <w:p w14:paraId="09ED01EE">
      <w:pPr>
        <w:numPr>
          <w:ilvl w:val="0"/>
          <w:numId w:val="0"/>
        </w:numPr>
        <w:ind w:leftChars="0"/>
        <w:rPr>
          <w:rFonts w:hint="eastAsia"/>
        </w:rPr>
      </w:pPr>
      <w:r>
        <w:rPr>
          <w:rFonts w:hint="eastAsia"/>
        </w:rPr>
        <w:t xml:space="preserve">5.4乙方违约，导致甲方向第三方采购原辅材料产生的差价及运费、乙方应承担的违约金、赔偿金以及退货运费、处理费等，甲方有权从应付款、履约保证金中直接抵扣，且甲方有权单方解除本合同。 </w:t>
      </w:r>
    </w:p>
    <w:p w14:paraId="18EFD680">
      <w:pPr>
        <w:numPr>
          <w:ilvl w:val="0"/>
          <w:numId w:val="0"/>
        </w:numPr>
        <w:ind w:leftChars="0"/>
        <w:rPr>
          <w:rFonts w:hint="eastAsia"/>
        </w:rPr>
      </w:pPr>
      <w:r>
        <w:rPr>
          <w:rFonts w:hint="eastAsia"/>
        </w:rPr>
        <w:t>5.5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04D068A6">
      <w:pPr>
        <w:numPr>
          <w:ilvl w:val="0"/>
          <w:numId w:val="0"/>
        </w:numPr>
        <w:ind w:leftChars="0"/>
        <w:rPr>
          <w:rFonts w:hint="eastAsia"/>
        </w:rPr>
      </w:pPr>
      <w:r>
        <w:rPr>
          <w:rFonts w:hint="eastAsia" w:ascii="宋体" w:hAnsi="宋体" w:cs="宋体"/>
          <w:color w:val="000000"/>
          <w:kern w:val="0"/>
          <w:szCs w:val="21"/>
          <w:lang w:val="en-US" w:eastAsia="zh-CN"/>
        </w:rPr>
        <w:t>5.6</w:t>
      </w:r>
      <w:r>
        <w:rPr>
          <w:rFonts w:hint="eastAsia" w:ascii="宋体" w:hAnsi="宋体" w:eastAsia="宋体" w:cs="宋体"/>
          <w:b w:val="0"/>
          <w:bCs w:val="0"/>
          <w:color w:val="000000"/>
          <w:kern w:val="0"/>
          <w:sz w:val="21"/>
          <w:szCs w:val="21"/>
          <w:lang w:val="en-US" w:eastAsia="zh-CN"/>
        </w:rPr>
        <w:t>本合同中所有违约金的标准双方已经进行充分考量，双方同意在发生争议时放弃向法院请求调整违约金过高的请求。</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10.1乙方保证对出售的原辅料拥有合法处分权，不存在抵押、质押、留置、查封或其他任何财产及权利负担等情形。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0E7AC489">
      <w:pPr>
        <w:numPr>
          <w:ilvl w:val="0"/>
          <w:numId w:val="0"/>
        </w:numPr>
        <w:ind w:leftChars="0"/>
        <w:rPr>
          <w:rFonts w:hint="eastAsia"/>
        </w:rPr>
      </w:pPr>
      <w:r>
        <w:rPr>
          <w:rFonts w:hint="eastAsia"/>
        </w:rPr>
        <w:t>10.8本合同经双方盖章后生效。</w:t>
      </w:r>
    </w:p>
    <w:p w14:paraId="31546784">
      <w:pPr>
        <w:numPr>
          <w:ilvl w:val="0"/>
          <w:numId w:val="0"/>
        </w:numPr>
        <w:ind w:leftChars="0"/>
        <w:rPr>
          <w:rFonts w:hint="eastAsia"/>
        </w:rPr>
      </w:pPr>
      <w:r>
        <w:rPr>
          <w:rFonts w:hint="eastAsia"/>
        </w:rPr>
        <w:t>10.9本合同壹式肆份，甲方持叁份，乙方持壹份，具有同等法律效力。</w:t>
      </w:r>
    </w:p>
    <w:p w14:paraId="172D3C67">
      <w:pPr>
        <w:numPr>
          <w:ilvl w:val="0"/>
          <w:numId w:val="0"/>
        </w:numPr>
        <w:ind w:leftChars="0"/>
      </w:pPr>
      <w:r>
        <w:rPr>
          <w:rFonts w:hint="eastAsia"/>
        </w:rPr>
        <w:t>10.10本合同未尽事项，双方另行协商解决。</w:t>
      </w:r>
    </w:p>
    <w:p w14:paraId="60BD3928">
      <w:pPr>
        <w:pStyle w:val="3"/>
        <w:jc w:val="center"/>
        <w:rPr>
          <w:rFonts w:ascii="宋体" w:hAnsi="宋体" w:eastAsia="宋体"/>
          <w:sz w:val="28"/>
        </w:rPr>
      </w:pPr>
      <w:bookmarkStart w:id="18" w:name="_Toc308700569"/>
      <w:bookmarkStart w:id="19" w:name="_Toc272141472"/>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1"/>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10452" w:type="dxa"/>
        <w:jc w:val="center"/>
        <w:tblLayout w:type="fixed"/>
        <w:tblCellMar>
          <w:top w:w="0" w:type="dxa"/>
          <w:left w:w="0" w:type="dxa"/>
          <w:bottom w:w="0" w:type="dxa"/>
          <w:right w:w="0" w:type="dxa"/>
        </w:tblCellMar>
      </w:tblPr>
      <w:tblGrid>
        <w:gridCol w:w="710"/>
        <w:gridCol w:w="1167"/>
        <w:gridCol w:w="1000"/>
        <w:gridCol w:w="1425"/>
        <w:gridCol w:w="1545"/>
        <w:gridCol w:w="1605"/>
        <w:gridCol w:w="1500"/>
        <w:gridCol w:w="1500"/>
      </w:tblGrid>
      <w:tr w14:paraId="1409D5E9">
        <w:tblPrEx>
          <w:tblCellMar>
            <w:top w:w="0" w:type="dxa"/>
            <w:left w:w="0" w:type="dxa"/>
            <w:bottom w:w="0" w:type="dxa"/>
            <w:right w:w="0" w:type="dxa"/>
          </w:tblCellMar>
        </w:tblPrEx>
        <w:trPr>
          <w:trHeight w:val="671" w:hRule="exact"/>
          <w:jc w:val="center"/>
        </w:trPr>
        <w:tc>
          <w:tcPr>
            <w:tcW w:w="710" w:type="dxa"/>
            <w:tcBorders>
              <w:top w:val="single" w:color="000000" w:sz="4" w:space="0"/>
              <w:left w:val="single" w:color="000000" w:sz="4" w:space="0"/>
              <w:bottom w:val="single" w:color="000000" w:sz="4" w:space="0"/>
              <w:right w:val="nil"/>
              <w:tl2br w:val="nil"/>
              <w:tr2bl w:val="nil"/>
            </w:tcBorders>
            <w:vAlign w:val="center"/>
          </w:tcPr>
          <w:p w14:paraId="6F0877FC">
            <w:pPr>
              <w:snapToGrid w:val="0"/>
              <w:spacing w:line="360" w:lineRule="auto"/>
              <w:ind w:firstLine="105" w:firstLineChars="50"/>
              <w:jc w:val="center"/>
              <w:rPr>
                <w:rFonts w:ascii="宋体" w:cs="宋体"/>
                <w:b/>
                <w:bCs/>
                <w:szCs w:val="21"/>
              </w:rPr>
            </w:pPr>
            <w:r>
              <w:rPr>
                <w:rFonts w:hint="eastAsia" w:ascii="宋体" w:cs="宋体"/>
                <w:b/>
                <w:bCs/>
                <w:szCs w:val="21"/>
              </w:rPr>
              <w:t>序号</w:t>
            </w:r>
          </w:p>
        </w:tc>
        <w:tc>
          <w:tcPr>
            <w:tcW w:w="1167" w:type="dxa"/>
            <w:tcBorders>
              <w:top w:val="single" w:color="000000" w:sz="4" w:space="0"/>
              <w:left w:val="single" w:color="000000" w:sz="4" w:space="0"/>
              <w:bottom w:val="single" w:color="000000" w:sz="4" w:space="0"/>
              <w:right w:val="nil"/>
              <w:tl2br w:val="nil"/>
              <w:tr2bl w:val="nil"/>
            </w:tcBorders>
            <w:vAlign w:val="center"/>
          </w:tcPr>
          <w:p w14:paraId="5541BF36">
            <w:pPr>
              <w:snapToGrid w:val="0"/>
              <w:spacing w:line="360" w:lineRule="auto"/>
              <w:jc w:val="center"/>
              <w:rPr>
                <w:rFonts w:ascii="宋体" w:cs="宋体"/>
                <w:b/>
                <w:bCs/>
                <w:szCs w:val="21"/>
              </w:rPr>
            </w:pPr>
            <w:r>
              <w:rPr>
                <w:rFonts w:hint="eastAsia" w:ascii="宋体" w:cs="宋体"/>
                <w:b/>
                <w:bCs/>
                <w:szCs w:val="21"/>
              </w:rPr>
              <w:t>名称</w:t>
            </w:r>
          </w:p>
        </w:tc>
        <w:tc>
          <w:tcPr>
            <w:tcW w:w="1000" w:type="dxa"/>
            <w:tcBorders>
              <w:top w:val="single" w:color="000000" w:sz="4" w:space="0"/>
              <w:left w:val="single" w:color="000000" w:sz="4" w:space="0"/>
              <w:bottom w:val="single" w:color="000000" w:sz="4" w:space="0"/>
              <w:right w:val="nil"/>
              <w:tl2br w:val="nil"/>
              <w:tr2bl w:val="nil"/>
            </w:tcBorders>
            <w:vAlign w:val="center"/>
          </w:tcPr>
          <w:p w14:paraId="552718C7">
            <w:pPr>
              <w:snapToGrid w:val="0"/>
              <w:spacing w:line="360" w:lineRule="auto"/>
              <w:jc w:val="center"/>
              <w:rPr>
                <w:rFonts w:ascii="宋体" w:cs="宋体"/>
                <w:b/>
                <w:bCs/>
                <w:szCs w:val="21"/>
              </w:rPr>
            </w:pPr>
            <w:r>
              <w:rPr>
                <w:rFonts w:hint="eastAsia" w:ascii="宋体" w:cs="宋体"/>
                <w:b/>
                <w:bCs/>
                <w:szCs w:val="21"/>
              </w:rPr>
              <w:t>数量</w:t>
            </w:r>
          </w:p>
          <w:p w14:paraId="254BAE3C">
            <w:pPr>
              <w:snapToGrid w:val="0"/>
              <w:spacing w:line="360" w:lineRule="auto"/>
              <w:jc w:val="center"/>
              <w:rPr>
                <w:rFonts w:ascii="宋体" w:cs="宋体"/>
                <w:b/>
                <w:bCs/>
                <w:szCs w:val="21"/>
              </w:rPr>
            </w:pPr>
            <w:r>
              <w:rPr>
                <w:rFonts w:hint="eastAsia" w:ascii="宋体" w:cs="宋体"/>
                <w:b/>
                <w:bCs/>
                <w:szCs w:val="21"/>
              </w:rPr>
              <w:t>(吨)</w:t>
            </w:r>
          </w:p>
        </w:tc>
        <w:tc>
          <w:tcPr>
            <w:tcW w:w="1425" w:type="dxa"/>
            <w:tcBorders>
              <w:top w:val="single" w:color="000000" w:sz="4" w:space="0"/>
              <w:left w:val="single" w:color="000000" w:sz="4" w:space="0"/>
              <w:bottom w:val="single" w:color="000000" w:sz="4" w:space="0"/>
              <w:right w:val="single" w:color="auto" w:sz="4" w:space="0"/>
              <w:tl2br w:val="nil"/>
              <w:tr2bl w:val="nil"/>
            </w:tcBorders>
            <w:vAlign w:val="center"/>
          </w:tcPr>
          <w:p w14:paraId="74B2B018">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不含税到岸价</w:t>
            </w:r>
          </w:p>
          <w:p w14:paraId="726D30C2">
            <w:pPr>
              <w:snapToGrid w:val="0"/>
              <w:spacing w:line="360" w:lineRule="auto"/>
              <w:jc w:val="center"/>
              <w:rPr>
                <w:rFonts w:hint="default" w:ascii="宋体" w:cs="宋体" w:eastAsiaTheme="minorEastAsia"/>
                <w:b/>
                <w:bCs/>
                <w:szCs w:val="21"/>
                <w:lang w:val="en-US" w:eastAsia="zh-CN"/>
              </w:rPr>
            </w:pPr>
            <w:r>
              <w:rPr>
                <w:rFonts w:hint="eastAsia" w:ascii="宋体" w:cs="宋体"/>
                <w:b/>
                <w:bCs/>
                <w:szCs w:val="21"/>
                <w:lang w:val="en-US" w:eastAsia="zh-CN"/>
              </w:rPr>
              <w:t>（元/吨）</w:t>
            </w:r>
          </w:p>
        </w:tc>
        <w:tc>
          <w:tcPr>
            <w:tcW w:w="1545" w:type="dxa"/>
            <w:tcBorders>
              <w:top w:val="single" w:color="000000" w:sz="4" w:space="0"/>
              <w:left w:val="single" w:color="000000" w:sz="4" w:space="0"/>
              <w:bottom w:val="single" w:color="000000" w:sz="4" w:space="0"/>
              <w:right w:val="single" w:color="auto" w:sz="4" w:space="0"/>
              <w:tl2br w:val="nil"/>
              <w:tr2bl w:val="nil"/>
            </w:tcBorders>
            <w:vAlign w:val="center"/>
          </w:tcPr>
          <w:p w14:paraId="3F423C97">
            <w:pPr>
              <w:snapToGrid w:val="0"/>
              <w:spacing w:line="360" w:lineRule="auto"/>
              <w:jc w:val="center"/>
              <w:rPr>
                <w:rFonts w:hint="eastAsia" w:ascii="宋体" w:cs="宋体" w:eastAsiaTheme="minorEastAsia"/>
                <w:b/>
                <w:bCs/>
                <w:szCs w:val="21"/>
                <w:lang w:val="en-US" w:eastAsia="zh-CN"/>
              </w:rPr>
            </w:pPr>
            <w:r>
              <w:rPr>
                <w:rFonts w:hint="eastAsia" w:ascii="宋体" w:cs="宋体"/>
                <w:b/>
                <w:bCs/>
                <w:szCs w:val="21"/>
                <w:lang w:val="en-US" w:eastAsia="zh-CN"/>
              </w:rPr>
              <w:t>不</w:t>
            </w:r>
            <w:r>
              <w:rPr>
                <w:rFonts w:hint="eastAsia" w:ascii="宋体" w:cs="宋体"/>
                <w:b/>
                <w:bCs/>
                <w:szCs w:val="21"/>
              </w:rPr>
              <w:t>含税</w:t>
            </w:r>
            <w:r>
              <w:rPr>
                <w:rFonts w:hint="eastAsia" w:ascii="宋体" w:cs="宋体"/>
                <w:b/>
                <w:bCs/>
                <w:szCs w:val="21"/>
                <w:lang w:val="en-US" w:eastAsia="zh-CN"/>
              </w:rPr>
              <w:t>总额</w:t>
            </w:r>
          </w:p>
          <w:p w14:paraId="782911A8">
            <w:pPr>
              <w:snapToGrid w:val="0"/>
              <w:spacing w:line="360" w:lineRule="auto"/>
              <w:jc w:val="center"/>
              <w:rPr>
                <w:rFonts w:ascii="宋体" w:cs="宋体"/>
                <w:b/>
                <w:bCs/>
                <w:szCs w:val="21"/>
              </w:rPr>
            </w:pPr>
            <w:r>
              <w:rPr>
                <w:rFonts w:hint="eastAsia" w:ascii="宋体" w:cs="宋体"/>
                <w:b/>
                <w:bCs/>
                <w:szCs w:val="21"/>
              </w:rPr>
              <w:t>（元）</w:t>
            </w:r>
          </w:p>
        </w:tc>
        <w:tc>
          <w:tcPr>
            <w:tcW w:w="1605" w:type="dxa"/>
            <w:tcBorders>
              <w:top w:val="single" w:color="000000" w:sz="4" w:space="0"/>
              <w:left w:val="single" w:color="auto" w:sz="4" w:space="0"/>
              <w:bottom w:val="single" w:color="000000" w:sz="4" w:space="0"/>
              <w:right w:val="single" w:color="auto" w:sz="4" w:space="0"/>
              <w:tl2br w:val="nil"/>
              <w:tr2bl w:val="nil"/>
            </w:tcBorders>
            <w:vAlign w:val="center"/>
          </w:tcPr>
          <w:p w14:paraId="0B09E8A9">
            <w:pPr>
              <w:snapToGrid w:val="0"/>
              <w:spacing w:line="360" w:lineRule="auto"/>
              <w:jc w:val="center"/>
              <w:rPr>
                <w:rFonts w:ascii="宋体" w:cs="宋体"/>
                <w:b/>
                <w:bCs/>
                <w:szCs w:val="21"/>
              </w:rPr>
            </w:pPr>
            <w:r>
              <w:rPr>
                <w:rFonts w:hint="eastAsia" w:ascii="宋体" w:cs="宋体"/>
                <w:b/>
                <w:bCs/>
                <w:szCs w:val="21"/>
              </w:rPr>
              <w:t>含税到岸价</w:t>
            </w:r>
          </w:p>
          <w:p w14:paraId="3B85EAA3">
            <w:pPr>
              <w:snapToGrid w:val="0"/>
              <w:spacing w:line="360" w:lineRule="auto"/>
              <w:jc w:val="center"/>
              <w:rPr>
                <w:rFonts w:ascii="宋体" w:cs="宋体"/>
                <w:b/>
                <w:bCs/>
                <w:szCs w:val="21"/>
              </w:rPr>
            </w:pPr>
            <w:r>
              <w:rPr>
                <w:rFonts w:hint="eastAsia" w:ascii="宋体" w:cs="宋体"/>
                <w:b/>
                <w:bCs/>
                <w:szCs w:val="21"/>
              </w:rPr>
              <w:t>（元/吨）</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60EF9616">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含税总额</w:t>
            </w:r>
          </w:p>
          <w:p w14:paraId="283538B5">
            <w:pPr>
              <w:snapToGrid w:val="0"/>
              <w:spacing w:line="360" w:lineRule="auto"/>
              <w:jc w:val="center"/>
              <w:rPr>
                <w:rFonts w:hint="default" w:ascii="宋体" w:cs="宋体"/>
                <w:b/>
                <w:bCs/>
                <w:szCs w:val="21"/>
                <w:lang w:val="en-US" w:eastAsia="zh-CN"/>
              </w:rPr>
            </w:pPr>
            <w:r>
              <w:rPr>
                <w:rFonts w:hint="eastAsia" w:ascii="宋体" w:cs="宋体"/>
                <w:b/>
                <w:bCs/>
                <w:szCs w:val="21"/>
                <w:lang w:val="en-US" w:eastAsia="zh-CN"/>
              </w:rPr>
              <w:t>（元）</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0459AC02">
            <w:pPr>
              <w:snapToGrid w:val="0"/>
              <w:spacing w:line="360" w:lineRule="auto"/>
              <w:jc w:val="center"/>
              <w:rPr>
                <w:rFonts w:hint="eastAsia" w:ascii="宋体" w:cs="宋体"/>
                <w:b/>
                <w:bCs/>
                <w:szCs w:val="21"/>
              </w:rPr>
            </w:pPr>
            <w:r>
              <w:rPr>
                <w:rFonts w:hint="eastAsia" w:ascii="宋体" w:cs="宋体"/>
                <w:b/>
                <w:bCs/>
                <w:szCs w:val="21"/>
              </w:rPr>
              <w:t>备注</w:t>
            </w:r>
          </w:p>
        </w:tc>
      </w:tr>
      <w:tr w14:paraId="585146D5">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1CCDFF8">
            <w:pPr>
              <w:spacing w:line="360" w:lineRule="auto"/>
              <w:jc w:val="center"/>
              <w:rPr>
                <w:rFonts w:hint="eastAsia" w:ascii="宋体" w:eastAsiaTheme="minorEastAsia"/>
                <w:szCs w:val="21"/>
                <w:lang w:val="en-US" w:eastAsia="zh-CN"/>
              </w:rPr>
            </w:pPr>
            <w:r>
              <w:rPr>
                <w:rFonts w:hint="eastAsia" w:ascii="宋体"/>
                <w:szCs w:val="21"/>
                <w:lang w:val="en-US" w:eastAsia="zh-CN"/>
              </w:rPr>
              <w:t>1</w:t>
            </w:r>
          </w:p>
        </w:tc>
        <w:tc>
          <w:tcPr>
            <w:tcW w:w="1167" w:type="dxa"/>
            <w:tcBorders>
              <w:left w:val="single" w:color="000000" w:sz="4" w:space="0"/>
              <w:bottom w:val="nil"/>
              <w:right w:val="nil"/>
              <w:tl2br w:val="nil"/>
              <w:tr2bl w:val="nil"/>
            </w:tcBorders>
            <w:shd w:val="clear" w:color="auto" w:fill="FFFFFF"/>
            <w:vAlign w:val="center"/>
          </w:tcPr>
          <w:p w14:paraId="0BE37114">
            <w:pPr>
              <w:spacing w:line="360" w:lineRule="auto"/>
              <w:jc w:val="center"/>
              <w:rPr>
                <w:rFonts w:hint="default" w:ascii="宋体" w:eastAsiaTheme="minorEastAsia"/>
                <w:szCs w:val="21"/>
                <w:lang w:val="en-US" w:eastAsia="zh-CN"/>
              </w:rPr>
            </w:pPr>
            <w:r>
              <w:rPr>
                <w:rFonts w:hint="eastAsia" w:ascii="宋体"/>
                <w:szCs w:val="21"/>
                <w:lang w:val="en-US" w:eastAsia="zh-CN"/>
              </w:rPr>
              <w:t>小麦</w:t>
            </w:r>
          </w:p>
        </w:tc>
        <w:tc>
          <w:tcPr>
            <w:tcW w:w="1000" w:type="dxa"/>
            <w:tcBorders>
              <w:top w:val="single" w:color="000000" w:sz="4" w:space="0"/>
              <w:left w:val="single" w:color="000000" w:sz="4" w:space="0"/>
              <w:bottom w:val="nil"/>
              <w:right w:val="nil"/>
              <w:tl2br w:val="nil"/>
              <w:tr2bl w:val="nil"/>
            </w:tcBorders>
            <w:shd w:val="clear" w:color="auto" w:fill="FFFFFF"/>
            <w:vAlign w:val="center"/>
          </w:tcPr>
          <w:p w14:paraId="16D165F8">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965.32</w:t>
            </w:r>
          </w:p>
        </w:tc>
        <w:tc>
          <w:tcPr>
            <w:tcW w:w="1425" w:type="dxa"/>
            <w:tcBorders>
              <w:top w:val="single" w:color="000000" w:sz="4" w:space="0"/>
              <w:left w:val="single" w:color="000000" w:sz="4" w:space="0"/>
              <w:bottom w:val="nil"/>
              <w:right w:val="nil"/>
              <w:tl2br w:val="nil"/>
              <w:tr2bl w:val="nil"/>
            </w:tcBorders>
            <w:vAlign w:val="center"/>
          </w:tcPr>
          <w:p w14:paraId="089CF69B">
            <w:pPr>
              <w:spacing w:line="360" w:lineRule="auto"/>
              <w:ind w:firstLine="420" w:firstLineChars="200"/>
              <w:jc w:val="center"/>
              <w:rPr>
                <w:rFonts w:ascii="宋体" w:cs="宋体"/>
                <w:szCs w:val="21"/>
              </w:rPr>
            </w:pPr>
          </w:p>
        </w:tc>
        <w:tc>
          <w:tcPr>
            <w:tcW w:w="1545" w:type="dxa"/>
            <w:tcBorders>
              <w:top w:val="single" w:color="000000" w:sz="4" w:space="0"/>
              <w:left w:val="single" w:color="000000" w:sz="4" w:space="0"/>
              <w:bottom w:val="nil"/>
              <w:right w:val="nil"/>
              <w:tl2br w:val="nil"/>
              <w:tr2bl w:val="nil"/>
            </w:tcBorders>
            <w:vAlign w:val="center"/>
          </w:tcPr>
          <w:p w14:paraId="516DDA6A">
            <w:pPr>
              <w:spacing w:line="360" w:lineRule="auto"/>
              <w:ind w:firstLine="420" w:firstLineChars="200"/>
              <w:jc w:val="center"/>
              <w:rPr>
                <w:rFonts w:ascii="宋体" w:cs="宋体"/>
                <w:szCs w:val="21"/>
              </w:rPr>
            </w:pPr>
          </w:p>
        </w:tc>
        <w:tc>
          <w:tcPr>
            <w:tcW w:w="1605" w:type="dxa"/>
            <w:tcBorders>
              <w:top w:val="single" w:color="000000" w:sz="4" w:space="0"/>
              <w:left w:val="single" w:color="000000" w:sz="4" w:space="0"/>
              <w:bottom w:val="single" w:color="000000" w:sz="4" w:space="0"/>
              <w:right w:val="single" w:color="auto" w:sz="4" w:space="0"/>
              <w:tl2br w:val="nil"/>
              <w:tr2bl w:val="nil"/>
            </w:tcBorders>
            <w:vAlign w:val="center"/>
          </w:tcPr>
          <w:p w14:paraId="4DF425C2">
            <w:pPr>
              <w:spacing w:line="360" w:lineRule="auto"/>
              <w:ind w:firstLine="420" w:firstLineChars="200"/>
              <w:jc w:val="center"/>
              <w:rPr>
                <w:rFonts w:ascii="宋体" w:cs="宋体"/>
                <w:szCs w:val="21"/>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38D9C946">
            <w:pPr>
              <w:spacing w:line="360" w:lineRule="auto"/>
              <w:jc w:val="center"/>
              <w:rPr>
                <w:rFonts w:hint="eastAsia" w:ascii="宋体" w:cs="宋体" w:eastAsiaTheme="minorEastAsia"/>
                <w:szCs w:val="21"/>
                <w:lang w:eastAsia="zh-CN"/>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494FE8A7">
            <w:pPr>
              <w:spacing w:line="360" w:lineRule="auto"/>
              <w:jc w:val="center"/>
              <w:rPr>
                <w:rFonts w:hint="eastAsia" w:ascii="宋体" w:cs="宋体" w:eastAsiaTheme="minorEastAsia"/>
                <w:szCs w:val="21"/>
                <w:lang w:eastAsia="zh-CN"/>
              </w:rPr>
            </w:pPr>
          </w:p>
        </w:tc>
      </w:tr>
      <w:tr w14:paraId="510251DA">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C54F2ED">
            <w:pPr>
              <w:snapToGrid w:val="0"/>
              <w:spacing w:line="360" w:lineRule="auto"/>
              <w:jc w:val="center"/>
              <w:rPr>
                <w:rFonts w:ascii="宋体" w:cs="宋体"/>
                <w:bCs/>
                <w:szCs w:val="21"/>
              </w:rPr>
            </w:pPr>
            <w:r>
              <w:rPr>
                <w:rFonts w:hint="eastAsia" w:ascii="宋体"/>
                <w:szCs w:val="21"/>
              </w:rPr>
              <w:t>合计</w:t>
            </w:r>
          </w:p>
        </w:tc>
        <w:tc>
          <w:tcPr>
            <w:tcW w:w="1167" w:type="dxa"/>
            <w:tcBorders>
              <w:top w:val="single" w:color="000000" w:sz="4" w:space="0"/>
              <w:left w:val="single" w:color="000000" w:sz="4" w:space="0"/>
              <w:bottom w:val="nil"/>
              <w:right w:val="nil"/>
              <w:tl2br w:val="nil"/>
              <w:tr2bl w:val="nil"/>
            </w:tcBorders>
            <w:shd w:val="clear" w:color="auto" w:fill="FFFFFF"/>
            <w:vAlign w:val="center"/>
          </w:tcPr>
          <w:p w14:paraId="3066DC85">
            <w:pPr>
              <w:spacing w:line="360" w:lineRule="auto"/>
              <w:jc w:val="center"/>
              <w:rPr>
                <w:rFonts w:ascii="宋体"/>
                <w:szCs w:val="21"/>
              </w:rPr>
            </w:pPr>
            <w:r>
              <w:rPr>
                <w:rFonts w:hint="eastAsia" w:ascii="宋体"/>
                <w:szCs w:val="21"/>
              </w:rPr>
              <w:t>—</w:t>
            </w:r>
          </w:p>
        </w:tc>
        <w:tc>
          <w:tcPr>
            <w:tcW w:w="1000" w:type="dxa"/>
            <w:tcBorders>
              <w:top w:val="single" w:color="000000" w:sz="4" w:space="0"/>
              <w:left w:val="single" w:color="000000" w:sz="4" w:space="0"/>
              <w:bottom w:val="nil"/>
              <w:right w:val="nil"/>
              <w:tl2br w:val="nil"/>
              <w:tr2bl w:val="nil"/>
            </w:tcBorders>
            <w:shd w:val="clear" w:color="auto" w:fill="FFFFFF"/>
            <w:vAlign w:val="center"/>
          </w:tcPr>
          <w:p w14:paraId="13634654">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965.32</w:t>
            </w:r>
          </w:p>
        </w:tc>
        <w:tc>
          <w:tcPr>
            <w:tcW w:w="1425" w:type="dxa"/>
            <w:tcBorders>
              <w:top w:val="single" w:color="000000" w:sz="4" w:space="0"/>
              <w:left w:val="single" w:color="000000" w:sz="4" w:space="0"/>
              <w:bottom w:val="nil"/>
              <w:right w:val="nil"/>
              <w:tl2br w:val="nil"/>
              <w:tr2bl w:val="nil"/>
            </w:tcBorders>
            <w:vAlign w:val="center"/>
          </w:tcPr>
          <w:p w14:paraId="0511B4A0">
            <w:pPr>
              <w:spacing w:line="360" w:lineRule="auto"/>
              <w:jc w:val="center"/>
              <w:rPr>
                <w:rFonts w:hint="eastAsia" w:ascii="宋体" w:cs="宋体"/>
                <w:szCs w:val="21"/>
              </w:rPr>
            </w:pPr>
            <w:r>
              <w:rPr>
                <w:rFonts w:hint="eastAsia" w:ascii="宋体" w:cs="宋体"/>
                <w:szCs w:val="21"/>
              </w:rPr>
              <w:t>—</w:t>
            </w:r>
          </w:p>
        </w:tc>
        <w:tc>
          <w:tcPr>
            <w:tcW w:w="1545" w:type="dxa"/>
            <w:tcBorders>
              <w:top w:val="single" w:color="000000" w:sz="4" w:space="0"/>
              <w:left w:val="single" w:color="000000" w:sz="4" w:space="0"/>
              <w:bottom w:val="nil"/>
              <w:right w:val="nil"/>
              <w:tl2br w:val="nil"/>
              <w:tr2bl w:val="nil"/>
            </w:tcBorders>
            <w:vAlign w:val="center"/>
          </w:tcPr>
          <w:p w14:paraId="24833AD0">
            <w:pPr>
              <w:spacing w:line="360" w:lineRule="auto"/>
              <w:jc w:val="center"/>
              <w:rPr>
                <w:rFonts w:ascii="宋体" w:cs="宋体"/>
                <w:szCs w:val="21"/>
              </w:rPr>
            </w:pPr>
          </w:p>
        </w:tc>
        <w:tc>
          <w:tcPr>
            <w:tcW w:w="1605" w:type="dxa"/>
            <w:tcBorders>
              <w:top w:val="single" w:color="000000" w:sz="4" w:space="0"/>
              <w:left w:val="single" w:color="000000" w:sz="4" w:space="0"/>
              <w:bottom w:val="single" w:color="000000" w:sz="4" w:space="0"/>
              <w:right w:val="single" w:color="auto" w:sz="4" w:space="0"/>
              <w:tl2br w:val="nil"/>
              <w:tr2bl w:val="nil"/>
            </w:tcBorders>
            <w:vAlign w:val="center"/>
          </w:tcPr>
          <w:p w14:paraId="1F8A154E">
            <w:pPr>
              <w:spacing w:line="360" w:lineRule="auto"/>
              <w:jc w:val="center"/>
              <w:rPr>
                <w:rFonts w:ascii="宋体" w:cs="宋体"/>
                <w:szCs w:val="21"/>
              </w:rPr>
            </w:pPr>
            <w:r>
              <w:rPr>
                <w:rFonts w:hint="eastAsia" w:ascii="宋体" w:cs="宋体"/>
                <w:szCs w:val="21"/>
              </w:rPr>
              <w:t>—</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21090057">
            <w:pPr>
              <w:spacing w:line="360" w:lineRule="auto"/>
              <w:ind w:firstLine="420" w:firstLineChars="200"/>
              <w:jc w:val="center"/>
              <w:rPr>
                <w:rFonts w:ascii="宋体" w:cs="宋体"/>
                <w:szCs w:val="21"/>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55C39AA0">
            <w:pPr>
              <w:spacing w:line="360" w:lineRule="auto"/>
              <w:ind w:firstLine="420" w:firstLineChars="200"/>
              <w:jc w:val="center"/>
              <w:rPr>
                <w:rFonts w:hint="eastAsia" w:ascii="宋体" w:cs="宋体"/>
                <w:szCs w:val="21"/>
              </w:rPr>
            </w:pPr>
            <w:r>
              <w:rPr>
                <w:rFonts w:hint="eastAsia" w:ascii="宋体" w:cs="宋体"/>
                <w:szCs w:val="21"/>
              </w:rPr>
              <w:t>—</w:t>
            </w:r>
          </w:p>
        </w:tc>
      </w:tr>
      <w:tr w14:paraId="7F89E311">
        <w:tblPrEx>
          <w:tblCellMar>
            <w:top w:w="0" w:type="dxa"/>
            <w:left w:w="0" w:type="dxa"/>
            <w:bottom w:w="0" w:type="dxa"/>
            <w:right w:w="0" w:type="dxa"/>
          </w:tblCellMar>
        </w:tblPrEx>
        <w:trPr>
          <w:trHeight w:val="841" w:hRule="atLeast"/>
          <w:jc w:val="center"/>
        </w:trPr>
        <w:tc>
          <w:tcPr>
            <w:tcW w:w="10452"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5FF1AE3B">
            <w:pPr>
              <w:snapToGrid w:val="0"/>
              <w:spacing w:line="360" w:lineRule="auto"/>
              <w:jc w:val="center"/>
              <w:rPr>
                <w:rFonts w:hint="eastAsia" w:ascii="宋体" w:cs="宋体"/>
                <w:szCs w:val="21"/>
              </w:rPr>
            </w:pPr>
            <w:r>
              <w:rPr>
                <w:rFonts w:hint="eastAsia" w:ascii="宋体" w:cs="宋体"/>
                <w:szCs w:val="21"/>
              </w:rPr>
              <w:t>备注：实际收货质量、数量以招标方计量检测设备为准，</w:t>
            </w:r>
            <w:r>
              <w:rPr>
                <w:rFonts w:hint="eastAsia" w:ascii="宋体" w:cs="宋体"/>
                <w:szCs w:val="21"/>
                <w:highlight w:val="none"/>
              </w:rPr>
              <w:t>报价数量至少为</w:t>
            </w:r>
            <w:r>
              <w:rPr>
                <w:rFonts w:hint="eastAsia" w:ascii="宋体" w:cs="宋体"/>
                <w:szCs w:val="21"/>
                <w:highlight w:val="none"/>
                <w:lang w:val="en-US" w:eastAsia="zh-CN"/>
              </w:rPr>
              <w:t>965.32</w:t>
            </w:r>
            <w:r>
              <w:rPr>
                <w:rFonts w:hint="eastAsia" w:ascii="宋体" w:cs="宋体"/>
                <w:szCs w:val="21"/>
                <w:highlight w:val="none"/>
              </w:rPr>
              <w:t>吨，否则无效。</w:t>
            </w:r>
          </w:p>
        </w:tc>
      </w:tr>
    </w:tbl>
    <w:p w14:paraId="069A68E2">
      <w:pPr>
        <w:adjustRightInd w:val="0"/>
        <w:rPr>
          <w:rFonts w:ascii="宋体" w:hAnsi="宋体"/>
          <w:b/>
          <w:sz w:val="24"/>
        </w:rPr>
      </w:pPr>
    </w:p>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312B5F7F">
      <w:pPr>
        <w:spacing w:before="120" w:line="380" w:lineRule="exact"/>
        <w:ind w:left="-105" w:leftChars="-50" w:firstLine="560" w:firstLineChars="200"/>
        <w:rPr>
          <w:rFonts w:ascii="宋体" w:hAnsi="宋体"/>
          <w:sz w:val="28"/>
          <w:szCs w:val="28"/>
          <w:highlight w:val="none"/>
        </w:rPr>
      </w:pPr>
      <w:r>
        <w:rPr>
          <w:rFonts w:hint="eastAsia" w:ascii="宋体" w:hAnsi="宋体"/>
          <w:sz w:val="28"/>
          <w:szCs w:val="28"/>
        </w:rPr>
        <w:t>1）</w:t>
      </w:r>
      <w:r>
        <w:rPr>
          <w:rFonts w:hint="eastAsia" w:ascii="宋体" w:hAnsi="宋体"/>
          <w:sz w:val="28"/>
          <w:szCs w:val="28"/>
          <w:highlight w:val="none"/>
        </w:rPr>
        <w:t>外检报告：供应商中标后</w:t>
      </w:r>
      <w:r>
        <w:rPr>
          <w:rFonts w:hint="eastAsia" w:ascii="宋体" w:hAnsi="宋体"/>
          <w:sz w:val="28"/>
          <w:szCs w:val="28"/>
          <w:highlight w:val="none"/>
          <w:lang w:val="en-US" w:eastAsia="zh-CN"/>
        </w:rPr>
        <w:t>2</w:t>
      </w:r>
      <w:r>
        <w:rPr>
          <w:rFonts w:hint="eastAsia" w:ascii="宋体" w:hAnsi="宋体"/>
          <w:sz w:val="28"/>
          <w:szCs w:val="28"/>
          <w:highlight w:val="none"/>
        </w:rPr>
        <w:t>天内提供</w:t>
      </w:r>
      <w:r>
        <w:rPr>
          <w:rFonts w:hint="eastAsia" w:ascii="宋体" w:hAnsi="宋体"/>
          <w:sz w:val="28"/>
          <w:szCs w:val="28"/>
          <w:highlight w:val="none"/>
          <w:lang w:eastAsia="zh-CN"/>
        </w:rPr>
        <w:t>含有</w:t>
      </w:r>
      <w:r>
        <w:rPr>
          <w:rFonts w:hint="eastAsia" w:ascii="宋体" w:hAnsi="宋体"/>
          <w:sz w:val="28"/>
          <w:szCs w:val="28"/>
          <w:highlight w:val="none"/>
          <w:lang w:val="en-US" w:eastAsia="zh-CN"/>
        </w:rPr>
        <w:t>CMA</w:t>
      </w:r>
      <w:r>
        <w:rPr>
          <w:rFonts w:hint="eastAsia" w:ascii="宋体" w:hAnsi="宋体"/>
          <w:sz w:val="28"/>
          <w:szCs w:val="28"/>
          <w:highlight w:val="none"/>
          <w:lang w:eastAsia="zh-CN"/>
        </w:rPr>
        <w:t>盖章的</w:t>
      </w:r>
      <w:r>
        <w:rPr>
          <w:rFonts w:hint="eastAsia" w:ascii="宋体" w:hAnsi="宋体"/>
          <w:sz w:val="28"/>
          <w:szCs w:val="28"/>
          <w:highlight w:val="none"/>
          <w:lang w:val="en-US" w:eastAsia="zh-CN"/>
        </w:rPr>
        <w:t>第三方</w:t>
      </w:r>
      <w:r>
        <w:rPr>
          <w:rFonts w:hint="eastAsia" w:ascii="宋体" w:hAnsi="宋体"/>
          <w:sz w:val="28"/>
          <w:szCs w:val="28"/>
          <w:highlight w:val="none"/>
          <w:lang w:eastAsia="zh-CN"/>
        </w:rPr>
        <w:t>检测报告</w:t>
      </w:r>
      <w:r>
        <w:rPr>
          <w:rFonts w:hint="eastAsia" w:ascii="宋体" w:hAnsi="宋体"/>
          <w:sz w:val="28"/>
          <w:szCs w:val="28"/>
          <w:highlight w:val="none"/>
        </w:rPr>
        <w:t>，第三方检测机构的CMA</w:t>
      </w:r>
      <w:r>
        <w:rPr>
          <w:rFonts w:hint="eastAsia" w:ascii="宋体" w:hAnsi="宋体"/>
          <w:sz w:val="28"/>
          <w:szCs w:val="28"/>
          <w:highlight w:val="none"/>
          <w:lang w:val="en-US" w:eastAsia="zh-CN"/>
        </w:rPr>
        <w:t>证书</w:t>
      </w:r>
      <w:r>
        <w:rPr>
          <w:rFonts w:hint="eastAsia" w:ascii="宋体" w:hAnsi="宋体"/>
          <w:sz w:val="28"/>
          <w:szCs w:val="28"/>
          <w:highlight w:val="none"/>
        </w:rPr>
        <w:t>要在有效期限内。未按要求提供招标方有权延迟支付货款。</w:t>
      </w:r>
    </w:p>
    <w:p w14:paraId="29F2D45C">
      <w:pPr>
        <w:spacing w:before="120" w:line="380" w:lineRule="exact"/>
        <w:ind w:left="-105" w:leftChars="-50" w:firstLine="560" w:firstLineChars="200"/>
        <w:rPr>
          <w:rFonts w:ascii="宋体" w:hAnsi="宋体"/>
          <w:sz w:val="28"/>
          <w:szCs w:val="28"/>
        </w:rPr>
      </w:pPr>
      <w:r>
        <w:rPr>
          <w:rFonts w:hint="eastAsia" w:ascii="宋体" w:hAnsi="宋体"/>
          <w:sz w:val="28"/>
          <w:szCs w:val="28"/>
        </w:rPr>
        <w:t>2）自身具备水分测定仪、容重仪检测设备，送货提供随车出厂检测报告，不限于水分、容重、杂质，带壳粒、不完善粒、霉变粒、害虫等项目。</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rPr>
        <w:t>3）投标方承诺的质量指标必须达招标方质量控制指标，否则取消中标资格。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中标方若</w:t>
      </w:r>
      <w:r>
        <w:rPr>
          <w:rFonts w:hint="eastAsia" w:ascii="宋体" w:hAnsi="宋体"/>
          <w:sz w:val="28"/>
          <w:szCs w:val="28"/>
        </w:rPr>
        <w:t>出现退货情况，我方有权视情况，要求供方按照【</w:t>
      </w:r>
      <w:r>
        <w:rPr>
          <w:rFonts w:hint="eastAsia" w:ascii="宋体" w:hAnsi="宋体"/>
          <w:sz w:val="28"/>
          <w:szCs w:val="28"/>
          <w:lang w:val="en-US" w:eastAsia="zh-CN"/>
        </w:rPr>
        <w:t>100</w:t>
      </w:r>
      <w:r>
        <w:rPr>
          <w:rFonts w:hint="eastAsia" w:ascii="宋体" w:hAnsi="宋体"/>
          <w:sz w:val="28"/>
          <w:szCs w:val="28"/>
        </w:rPr>
        <w:t>元/吨】承担违约金。因质量不合格，发生【</w:t>
      </w:r>
      <w:r>
        <w:rPr>
          <w:rFonts w:hint="eastAsia" w:ascii="宋体" w:hAnsi="宋体"/>
          <w:sz w:val="28"/>
          <w:szCs w:val="28"/>
          <w:lang w:val="en-US" w:eastAsia="zh-CN"/>
        </w:rPr>
        <w:t>3</w:t>
      </w:r>
      <w:r>
        <w:rPr>
          <w:rFonts w:hint="eastAsia" w:ascii="宋体" w:hAnsi="宋体"/>
          <w:sz w:val="28"/>
          <w:szCs w:val="28"/>
        </w:rPr>
        <w:t>】次以上拒收的，我方有权启动备选供应商或有权单方解除本合同。每天供货能力不能低于</w:t>
      </w:r>
      <w:r>
        <w:rPr>
          <w:rFonts w:hint="eastAsia" w:ascii="宋体" w:hAnsi="宋体"/>
          <w:sz w:val="28"/>
          <w:szCs w:val="28"/>
          <w:highlight w:val="none"/>
          <w:lang w:val="en-US" w:eastAsia="zh-CN"/>
        </w:rPr>
        <w:t>100</w:t>
      </w:r>
      <w:r>
        <w:rPr>
          <w:rFonts w:hint="eastAsia" w:ascii="宋体" w:hAnsi="宋体"/>
          <w:sz w:val="28"/>
          <w:szCs w:val="28"/>
          <w:highlight w:val="none"/>
        </w:rPr>
        <w:t>吨</w:t>
      </w:r>
      <w:r>
        <w:rPr>
          <w:rFonts w:hint="eastAsia" w:ascii="宋体" w:hAnsi="宋体"/>
          <w:sz w:val="28"/>
          <w:szCs w:val="28"/>
        </w:rPr>
        <w:t>，具体供货进度以需求单位供货计划为准，如果中标供应商不按计划到货，我方有权罚款。</w:t>
      </w:r>
    </w:p>
    <w:p w14:paraId="3859046C">
      <w:pPr>
        <w:spacing w:before="120" w:line="380" w:lineRule="exact"/>
        <w:ind w:left="-105" w:leftChars="-50" w:firstLine="560" w:firstLineChars="200"/>
        <w:rPr>
          <w:rFonts w:hint="eastAsia" w:ascii="宋体" w:hAnsi="宋体"/>
          <w:sz w:val="28"/>
          <w:szCs w:val="28"/>
        </w:rPr>
      </w:pPr>
      <w:r>
        <w:rPr>
          <w:rFonts w:hint="eastAsia" w:ascii="宋体" w:hAnsi="宋体"/>
          <w:sz w:val="28"/>
          <w:szCs w:val="28"/>
        </w:rPr>
        <w:t>5）为确保质量可控，货物实际加工单位必须与投标方资质相符，或符合国家规定的合格的投标方关联企业，货物实际供货商必须与投标方资质相符，或符合国家规定的合格的投标方关联企业。</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6）供货前</w:t>
      </w:r>
      <w:r>
        <w:rPr>
          <w:rFonts w:hint="eastAsia" w:ascii="宋体" w:hAnsi="宋体"/>
          <w:sz w:val="28"/>
          <w:szCs w:val="28"/>
          <w:lang w:val="en-US" w:eastAsia="zh-CN"/>
        </w:rPr>
        <w:t>中标方</w:t>
      </w:r>
      <w:r>
        <w:rPr>
          <w:rFonts w:hint="eastAsia" w:ascii="宋体" w:hAnsi="宋体" w:eastAsiaTheme="minorEastAsia" w:cstheme="minorBidi"/>
          <w:b w:val="0"/>
          <w:kern w:val="2"/>
          <w:sz w:val="28"/>
          <w:szCs w:val="28"/>
          <w:lang w:val="en-US" w:eastAsia="zh-CN" w:bidi="ar-SA"/>
        </w:rPr>
        <w:t>需提供相关检测证明及正规食品渠道证明，若无法提供，</w:t>
      </w:r>
      <w:r>
        <w:rPr>
          <w:rFonts w:hint="eastAsia" w:ascii="宋体" w:hAnsi="宋体" w:cstheme="minorBidi"/>
          <w:b w:val="0"/>
          <w:kern w:val="2"/>
          <w:sz w:val="28"/>
          <w:szCs w:val="28"/>
          <w:lang w:val="en-US" w:eastAsia="zh-CN" w:bidi="ar-SA"/>
        </w:rPr>
        <w:t>招</w:t>
      </w:r>
      <w:r>
        <w:rPr>
          <w:rFonts w:hint="eastAsia" w:ascii="宋体" w:hAnsi="宋体" w:eastAsiaTheme="minorEastAsia" w:cstheme="minorBidi"/>
          <w:b w:val="0"/>
          <w:kern w:val="2"/>
          <w:sz w:val="28"/>
          <w:szCs w:val="28"/>
          <w:lang w:val="en-US" w:eastAsia="zh-CN" w:bidi="ar-SA"/>
        </w:rPr>
        <w:t>标方有权解除合同，并扣除相应投标保证金。</w:t>
      </w:r>
    </w:p>
    <w:p w14:paraId="68BB6280">
      <w:pPr>
        <w:pStyle w:val="39"/>
        <w:ind w:firstLine="280" w:firstLineChars="100"/>
        <w:rPr>
          <w:rFonts w:hint="default"/>
          <w:lang w:val="en-US" w:eastAsia="zh-CN"/>
        </w:rPr>
      </w:pPr>
      <w:r>
        <w:rPr>
          <w:rFonts w:hint="eastAsia" w:asciiTheme="minorEastAsia" w:hAnsiTheme="minorEastAsia" w:eastAsiaTheme="minorEastAsia" w:cstheme="minorEastAsia"/>
          <w:b w:val="0"/>
          <w:kern w:val="2"/>
          <w:sz w:val="28"/>
          <w:szCs w:val="28"/>
          <w:lang w:val="en-US" w:eastAsia="zh-CN" w:bidi="ar-SA"/>
        </w:rPr>
        <w:t>7）运输车辆应做好卫生清理，车辆干净整洁，车厢内部无残渣异物等。</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4、</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5、</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6、</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widowControl/>
        <w:jc w:val="center"/>
        <w:rPr>
          <w:rFonts w:asciiTheme="minorEastAsia" w:hAnsiTheme="minorEastAsia"/>
          <w:sz w:val="32"/>
        </w:rPr>
      </w:pPr>
      <w:r>
        <w:rPr>
          <w:rFonts w:hint="eastAsia" w:cs="宋体" w:asciiTheme="minorEastAsia" w:hAnsiTheme="minorEastAsia"/>
          <w:b/>
          <w:sz w:val="44"/>
          <w:szCs w:val="44"/>
          <w:lang w:val="en-US" w:eastAsia="zh-CN"/>
        </w:rPr>
        <w:t>7、代理人身份证明（身份证复印件）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8、</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9、</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abstractNum w:abstractNumId="10">
    <w:nsid w:val="7EB64F67"/>
    <w:multiLevelType w:val="multilevel"/>
    <w:tmpl w:val="7EB64F67"/>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525"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72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444D52"/>
    <w:rsid w:val="049F0A73"/>
    <w:rsid w:val="057D2284"/>
    <w:rsid w:val="076058D8"/>
    <w:rsid w:val="07702E58"/>
    <w:rsid w:val="077C23B9"/>
    <w:rsid w:val="07AB18D9"/>
    <w:rsid w:val="07D71D1F"/>
    <w:rsid w:val="08910B4B"/>
    <w:rsid w:val="08C54637"/>
    <w:rsid w:val="0A176E6F"/>
    <w:rsid w:val="0A450F55"/>
    <w:rsid w:val="0A8727F7"/>
    <w:rsid w:val="0B2C1784"/>
    <w:rsid w:val="0B8D6FDE"/>
    <w:rsid w:val="0BC76024"/>
    <w:rsid w:val="0C5D2080"/>
    <w:rsid w:val="0C717B67"/>
    <w:rsid w:val="0DAB1666"/>
    <w:rsid w:val="0F426EB3"/>
    <w:rsid w:val="0F434E8E"/>
    <w:rsid w:val="11643FD8"/>
    <w:rsid w:val="11D16BFE"/>
    <w:rsid w:val="13D5776C"/>
    <w:rsid w:val="15151BE5"/>
    <w:rsid w:val="160723FE"/>
    <w:rsid w:val="165204D2"/>
    <w:rsid w:val="16DC6922"/>
    <w:rsid w:val="17681CF4"/>
    <w:rsid w:val="17D95A7C"/>
    <w:rsid w:val="187E18D0"/>
    <w:rsid w:val="18A05B37"/>
    <w:rsid w:val="196C29A0"/>
    <w:rsid w:val="1B533D2C"/>
    <w:rsid w:val="1C5300EC"/>
    <w:rsid w:val="1D60068B"/>
    <w:rsid w:val="1F135C75"/>
    <w:rsid w:val="1F49412B"/>
    <w:rsid w:val="22E83E4B"/>
    <w:rsid w:val="22E97B8A"/>
    <w:rsid w:val="23F21FDC"/>
    <w:rsid w:val="24392625"/>
    <w:rsid w:val="24793C27"/>
    <w:rsid w:val="24DB56CB"/>
    <w:rsid w:val="25DB2F2D"/>
    <w:rsid w:val="26B7472E"/>
    <w:rsid w:val="291D6A9B"/>
    <w:rsid w:val="298914EC"/>
    <w:rsid w:val="29A23570"/>
    <w:rsid w:val="29CA2EDB"/>
    <w:rsid w:val="29D87CD2"/>
    <w:rsid w:val="29D97BC8"/>
    <w:rsid w:val="2B104E80"/>
    <w:rsid w:val="2B3145CB"/>
    <w:rsid w:val="2C3B3A3A"/>
    <w:rsid w:val="2D182DDE"/>
    <w:rsid w:val="2D954F24"/>
    <w:rsid w:val="2DA863A7"/>
    <w:rsid w:val="2E9B31C7"/>
    <w:rsid w:val="2EEA1563"/>
    <w:rsid w:val="2FB33807"/>
    <w:rsid w:val="30973E22"/>
    <w:rsid w:val="30E25ECB"/>
    <w:rsid w:val="312251B6"/>
    <w:rsid w:val="31316022"/>
    <w:rsid w:val="313D56B9"/>
    <w:rsid w:val="31661C67"/>
    <w:rsid w:val="31975732"/>
    <w:rsid w:val="31BE7E9F"/>
    <w:rsid w:val="34C9185E"/>
    <w:rsid w:val="350A036B"/>
    <w:rsid w:val="376A1597"/>
    <w:rsid w:val="38040E29"/>
    <w:rsid w:val="38832BA3"/>
    <w:rsid w:val="38D2546B"/>
    <w:rsid w:val="39F21B04"/>
    <w:rsid w:val="3A8F093F"/>
    <w:rsid w:val="3AC36CE0"/>
    <w:rsid w:val="3CD438BB"/>
    <w:rsid w:val="3CE04E8D"/>
    <w:rsid w:val="3D9E4A54"/>
    <w:rsid w:val="3DEA06FA"/>
    <w:rsid w:val="3EB14EBC"/>
    <w:rsid w:val="3EFE19FD"/>
    <w:rsid w:val="3F296B75"/>
    <w:rsid w:val="3F813339"/>
    <w:rsid w:val="403827F2"/>
    <w:rsid w:val="40624D42"/>
    <w:rsid w:val="4228414A"/>
    <w:rsid w:val="440A08B0"/>
    <w:rsid w:val="46C61DAE"/>
    <w:rsid w:val="483B0AF8"/>
    <w:rsid w:val="487B6607"/>
    <w:rsid w:val="49060DC5"/>
    <w:rsid w:val="49BB4BF7"/>
    <w:rsid w:val="4A7946D2"/>
    <w:rsid w:val="4AB80B05"/>
    <w:rsid w:val="4B885157"/>
    <w:rsid w:val="4BBC1B7E"/>
    <w:rsid w:val="4BF96A78"/>
    <w:rsid w:val="4C9B6979"/>
    <w:rsid w:val="4CB71A9A"/>
    <w:rsid w:val="4DA932E2"/>
    <w:rsid w:val="4FA95E29"/>
    <w:rsid w:val="4FF00377"/>
    <w:rsid w:val="4FF10F9B"/>
    <w:rsid w:val="50362563"/>
    <w:rsid w:val="50821984"/>
    <w:rsid w:val="50AD3DB7"/>
    <w:rsid w:val="51CF2021"/>
    <w:rsid w:val="51F46971"/>
    <w:rsid w:val="525D7858"/>
    <w:rsid w:val="532D52E1"/>
    <w:rsid w:val="53B25AC6"/>
    <w:rsid w:val="560A721D"/>
    <w:rsid w:val="567C7A09"/>
    <w:rsid w:val="567E3B0B"/>
    <w:rsid w:val="56FE4929"/>
    <w:rsid w:val="58CB22E6"/>
    <w:rsid w:val="59E15B51"/>
    <w:rsid w:val="5A075758"/>
    <w:rsid w:val="5A7256AA"/>
    <w:rsid w:val="5AA555AE"/>
    <w:rsid w:val="5D5C1D60"/>
    <w:rsid w:val="5EF36847"/>
    <w:rsid w:val="61136EBA"/>
    <w:rsid w:val="615D427D"/>
    <w:rsid w:val="619B5C7B"/>
    <w:rsid w:val="61B44D1A"/>
    <w:rsid w:val="61BE4DEC"/>
    <w:rsid w:val="61C22016"/>
    <w:rsid w:val="61C270C2"/>
    <w:rsid w:val="620A786F"/>
    <w:rsid w:val="62EB55DD"/>
    <w:rsid w:val="646F3406"/>
    <w:rsid w:val="65170D52"/>
    <w:rsid w:val="6536793F"/>
    <w:rsid w:val="65E02363"/>
    <w:rsid w:val="65ED73C7"/>
    <w:rsid w:val="66165073"/>
    <w:rsid w:val="68D45367"/>
    <w:rsid w:val="68D61558"/>
    <w:rsid w:val="695D51EA"/>
    <w:rsid w:val="6A736AB6"/>
    <w:rsid w:val="6BC95638"/>
    <w:rsid w:val="6BE874E2"/>
    <w:rsid w:val="6C205013"/>
    <w:rsid w:val="6CAC3E0C"/>
    <w:rsid w:val="6DA145EB"/>
    <w:rsid w:val="6DF46D05"/>
    <w:rsid w:val="6EC242DD"/>
    <w:rsid w:val="6F26687E"/>
    <w:rsid w:val="70FC38A5"/>
    <w:rsid w:val="71990176"/>
    <w:rsid w:val="73E1684D"/>
    <w:rsid w:val="750B0C89"/>
    <w:rsid w:val="75653527"/>
    <w:rsid w:val="75BF02CA"/>
    <w:rsid w:val="762E0698"/>
    <w:rsid w:val="77580A2E"/>
    <w:rsid w:val="78BF61CE"/>
    <w:rsid w:val="78FB535C"/>
    <w:rsid w:val="79177086"/>
    <w:rsid w:val="794D40DE"/>
    <w:rsid w:val="794D7624"/>
    <w:rsid w:val="79AC0609"/>
    <w:rsid w:val="7B3F60B7"/>
    <w:rsid w:val="7B6705FD"/>
    <w:rsid w:val="7C7C0379"/>
    <w:rsid w:val="7CBB3D0A"/>
    <w:rsid w:val="7D8D7E35"/>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21</Pages>
  <Words>9069</Words>
  <Characters>9475</Characters>
  <Lines>82</Lines>
  <Paragraphs>23</Paragraphs>
  <TotalTime>29</TotalTime>
  <ScaleCrop>false</ScaleCrop>
  <LinksUpToDate>false</LinksUpToDate>
  <CharactersWithSpaces>9868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2025-05-26T07:51:54Z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06606CA750484D3A84B703371E27C3F0_13</vt:lpwstr>
  </property>
  <property fmtid="{D5CDD505-2E9C-101B-9397-08002B2CF9AE}" pid="4" name="KSOTemplateDocerSaveRecord">
    <vt:lpwstr>eyJoZGlkIjoiZWM2YzgyMDYzNGM5Zjg5MzgxNTQ0MjQ4YzAyYWUzYjIiLCJ1c2VySWQiOiIyMjgxNTI4NjMifQ==</vt:lpwstr>
  </property>
</Properties>
</file>